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0" w:firstLineChars="0"/>
        <w:rPr>
          <w:rFonts w:ascii="方正小标宋简体" w:hAnsi="CESI小标宋-GB2312" w:eastAsia="方正小标宋简体" w:cs="CESI小标宋-GB2312"/>
          <w:bCs/>
          <w:color w:val="000000" w:themeColor="text1"/>
          <w:spacing w:val="-6"/>
          <w:sz w:val="44"/>
          <w:szCs w:val="44"/>
        </w:rPr>
      </w:pPr>
      <w:r>
        <w:rPr>
          <w:rFonts w:hint="eastAsia" w:ascii="方正小标宋简体" w:hAnsi="CESI小标宋-GB2312" w:eastAsia="方正小标宋简体" w:cs="CESI小标宋-GB2312"/>
          <w:bCs/>
          <w:color w:val="000000" w:themeColor="text1"/>
          <w:spacing w:val="-6"/>
          <w:sz w:val="44"/>
          <w:szCs w:val="44"/>
        </w:rPr>
        <w:t>湖南省地方志编纂院政府采购业务管理制度</w:t>
      </w:r>
    </w:p>
    <w:p>
      <w:pPr>
        <w:tabs>
          <w:tab w:val="left" w:pos="4860"/>
          <w:tab w:val="left" w:pos="5760"/>
        </w:tabs>
        <w:adjustRightInd w:val="0"/>
        <w:snapToGrid w:val="0"/>
        <w:spacing w:line="640" w:lineRule="exact"/>
        <w:jc w:val="center"/>
        <w:rPr>
          <w:rFonts w:ascii="楷体_GB2312" w:hAnsi="CESI楷体-GB2312" w:eastAsia="楷体_GB2312" w:cs="CESI楷体-GB2312"/>
          <w:bCs/>
          <w:color w:val="000000" w:themeColor="text1"/>
          <w:sz w:val="32"/>
          <w:szCs w:val="32"/>
        </w:rPr>
      </w:pPr>
      <w:r>
        <w:rPr>
          <w:rFonts w:hint="eastAsia" w:ascii="楷体_GB2312" w:hAnsi="CESI楷体-GB2312" w:eastAsia="楷体_GB2312" w:cs="CESI楷体-GB2312"/>
          <w:bCs/>
          <w:color w:val="000000" w:themeColor="text1"/>
          <w:sz w:val="32"/>
          <w:szCs w:val="32"/>
        </w:rPr>
        <w:t>（试行）</w:t>
      </w:r>
    </w:p>
    <w:p>
      <w:pPr>
        <w:tabs>
          <w:tab w:val="left" w:pos="4860"/>
          <w:tab w:val="left" w:pos="5760"/>
        </w:tabs>
        <w:adjustRightInd w:val="0"/>
        <w:snapToGrid w:val="0"/>
        <w:spacing w:line="480" w:lineRule="exact"/>
        <w:ind w:right="-50" w:rightChars="-24"/>
        <w:rPr>
          <w:rFonts w:ascii="宋体" w:hAnsi="宋体" w:cs="宋体"/>
          <w:b/>
          <w:bCs/>
          <w:color w:val="000000" w:themeColor="text1"/>
          <w:sz w:val="28"/>
          <w:szCs w:val="28"/>
        </w:rPr>
      </w:pPr>
    </w:p>
    <w:p>
      <w:pPr>
        <w:widowControl/>
        <w:tabs>
          <w:tab w:val="left" w:pos="4860"/>
          <w:tab w:val="left" w:pos="5760"/>
        </w:tabs>
        <w:adjustRightInd w:val="0"/>
        <w:snapToGrid w:val="0"/>
        <w:spacing w:beforeLines="50" w:afterLines="50" w:line="600" w:lineRule="exact"/>
        <w:ind w:right="-50" w:rightChars="-24"/>
        <w:jc w:val="center"/>
        <w:rPr>
          <w:rFonts w:ascii="黑体" w:hAnsi="仿宋" w:eastAsia="黑体" w:cs="仿宋"/>
          <w:color w:val="000000" w:themeColor="text1"/>
          <w:sz w:val="32"/>
          <w:szCs w:val="32"/>
        </w:rPr>
      </w:pPr>
      <w:r>
        <w:rPr>
          <w:rFonts w:hint="eastAsia" w:ascii="黑体" w:hAnsi="仿宋" w:eastAsia="黑体" w:cs="仿宋"/>
          <w:bCs/>
          <w:color w:val="000000" w:themeColor="text1"/>
          <w:sz w:val="32"/>
          <w:szCs w:val="32"/>
        </w:rPr>
        <w:t>第一章  总则</w:t>
      </w:r>
    </w:p>
    <w:p>
      <w:pPr>
        <w:widowControl/>
        <w:adjustRightInd w:val="0"/>
        <w:snapToGrid w:val="0"/>
        <w:spacing w:line="600" w:lineRule="exact"/>
        <w:ind w:right="-50" w:rightChars="-24" w:firstLine="627" w:firstLineChars="196"/>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第一条</w:t>
      </w:r>
      <w:r>
        <w:rPr>
          <w:rFonts w:hint="eastAsia" w:ascii="仿宋" w:hAnsi="仿宋" w:eastAsia="仿宋" w:cs="仿宋"/>
          <w:color w:val="000000" w:themeColor="text1"/>
          <w:sz w:val="32"/>
          <w:szCs w:val="32"/>
        </w:rPr>
        <w:t xml:space="preserve">  为规范院机关采购行为，加强对政府采购</w:t>
      </w:r>
      <w:r>
        <w:rPr>
          <w:rFonts w:ascii="仿宋" w:hAnsi="仿宋" w:eastAsia="仿宋" w:cs="仿宋"/>
          <w:color w:val="000000" w:themeColor="text1"/>
          <w:sz w:val="32"/>
          <w:szCs w:val="32"/>
        </w:rPr>
        <w:t>的</w:t>
      </w:r>
      <w:r>
        <w:rPr>
          <w:rFonts w:hint="eastAsia" w:ascii="仿宋" w:hAnsi="仿宋" w:eastAsia="仿宋" w:cs="仿宋"/>
          <w:color w:val="000000" w:themeColor="text1"/>
          <w:sz w:val="32"/>
          <w:szCs w:val="32"/>
        </w:rPr>
        <w:t>监督管理，进一步提高资金使用效益，促进廉政建设，切实维护单位合法权益</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根据《中华人民共和国政府采购法》《中华人民共和国政府采购法实施条例》《政府采购货物和服务招标投标管理办法》《湖南省政府采购电子卖场管理办法》等有关法律法规，结合本院实际，制定本制度。</w:t>
      </w:r>
    </w:p>
    <w:p>
      <w:pPr>
        <w:widowControl/>
        <w:adjustRightInd w:val="0"/>
        <w:snapToGrid w:val="0"/>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第二条</w:t>
      </w:r>
      <w:r>
        <w:rPr>
          <w:rFonts w:hint="eastAsia" w:ascii="仿宋" w:hAnsi="仿宋" w:eastAsia="仿宋" w:cs="仿宋"/>
          <w:color w:val="000000" w:themeColor="text1"/>
          <w:sz w:val="32"/>
          <w:szCs w:val="32"/>
        </w:rPr>
        <w:t xml:space="preserve">  凡使用纳入本院预算管理的资金采购货物、服务和工程类项目的活动，适用本制度。</w:t>
      </w:r>
    </w:p>
    <w:p>
      <w:pPr>
        <w:widowControl/>
        <w:adjustRightInd w:val="0"/>
        <w:snapToGrid w:val="0"/>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第三条  </w:t>
      </w:r>
      <w:r>
        <w:rPr>
          <w:rFonts w:hint="eastAsia" w:ascii="仿宋" w:hAnsi="仿宋" w:eastAsia="仿宋" w:cs="仿宋"/>
          <w:color w:val="000000" w:themeColor="text1"/>
          <w:sz w:val="32"/>
          <w:szCs w:val="32"/>
        </w:rPr>
        <w:t>本制度所称采购，是指有偿取得货物、服务与工程类项目服务的行为，包括购买、租赁、委托、雇用等。本制度所称货物，是指各种形态和种类的物品，包括原材料、燃料、设备、产品等。本制度所称工程，是指建筑物和构筑物的新建、改建、扩建、装修、拆除、修缮等。本制度所称服务，是指除工程和货物以外的其他采购对象，包括但不限于志鉴编纂、评审、咨询、出版印刷、商业保险、资产租赁、车辆租赁、数字资源、物业管理、资产评估、招标代理、审计、设计、监理等服务。</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第四条</w:t>
      </w:r>
      <w:r>
        <w:rPr>
          <w:rFonts w:hint="eastAsia" w:ascii="仿宋" w:hAnsi="仿宋" w:eastAsia="仿宋" w:cs="仿宋"/>
          <w:color w:val="000000" w:themeColor="text1"/>
          <w:sz w:val="32"/>
          <w:szCs w:val="32"/>
        </w:rPr>
        <w:t xml:space="preserve">  本院采购工作应当遵循公开、公平、公正和诚实守信原则。采购活动及其当事人应严格遵守有关法律法规及本制度规定，自觉接受监督。</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第五条</w:t>
      </w:r>
      <w:r>
        <w:rPr>
          <w:rFonts w:hint="eastAsia" w:ascii="仿宋" w:hAnsi="仿宋" w:eastAsia="仿宋" w:cs="仿宋"/>
          <w:color w:val="000000" w:themeColor="text1"/>
          <w:sz w:val="32"/>
          <w:szCs w:val="32"/>
        </w:rPr>
        <w:t xml:space="preserve">  政府采购是指单位按照政府采购法律、行政法规和制度规定的方式和程序，采购省级政府集中采购目录以内或者政府采购限额标准以上的货物、工程和服务的行为。</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（一）属于政府采购限额标准以上的货物、工程和服务的采购，按相关规定实行政府集中采购或分散采购。</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属于省级政府集中采购目录以内且达到政府采购限额标准的采购，必须委托省公共资源交易中心实施。</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不属于省级政府集中采购目录以内但达到政府采购限额标准以上的项目，可以委托政府采购代理机构实施采购。</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（二）属于政府采购限额标准以下的货物、工程和服务的采购，原则上通过电子卖场进行，执行《湖南省政府采购电子卖场管理办法》等相关规定。</w:t>
      </w:r>
    </w:p>
    <w:p>
      <w:pPr>
        <w:widowControl/>
        <w:tabs>
          <w:tab w:val="left" w:pos="1744"/>
        </w:tabs>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第六条</w:t>
      </w:r>
      <w:r>
        <w:rPr>
          <w:rFonts w:hint="eastAsia" w:ascii="仿宋" w:hAnsi="仿宋" w:eastAsia="仿宋" w:cs="仿宋"/>
          <w:color w:val="000000" w:themeColor="text1"/>
          <w:sz w:val="32"/>
          <w:szCs w:val="32"/>
        </w:rPr>
        <w:t xml:space="preserve">  任何部门和个人不得将应当进行招标的项目化整为零或者以其他方式规避招标。</w:t>
      </w:r>
    </w:p>
    <w:p>
      <w:pPr>
        <w:widowControl/>
        <w:tabs>
          <w:tab w:val="left" w:pos="1744"/>
        </w:tabs>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第七条</w:t>
      </w:r>
      <w:r>
        <w:rPr>
          <w:rFonts w:hint="eastAsia" w:ascii="仿宋" w:hAnsi="仿宋" w:eastAsia="仿宋" w:cs="仿宋"/>
          <w:color w:val="000000" w:themeColor="text1"/>
          <w:sz w:val="32"/>
          <w:szCs w:val="32"/>
        </w:rPr>
        <w:t xml:space="preserve">  任何部门和个人不得限制或者排斥本地区、本系统以外的法人或者其他组织参加采购，不得以任何方式干涉采购活动。</w:t>
      </w:r>
    </w:p>
    <w:p>
      <w:pPr>
        <w:widowControl/>
        <w:tabs>
          <w:tab w:val="left" w:pos="4860"/>
          <w:tab w:val="left" w:pos="5760"/>
        </w:tabs>
        <w:adjustRightInd w:val="0"/>
        <w:snapToGrid w:val="0"/>
        <w:spacing w:line="600" w:lineRule="exact"/>
        <w:ind w:right="-50" w:rightChars="-24" w:firstLine="627" w:firstLineChars="196"/>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第八条  </w:t>
      </w:r>
      <w:r>
        <w:rPr>
          <w:rFonts w:hint="eastAsia" w:ascii="仿宋" w:hAnsi="仿宋" w:eastAsia="仿宋" w:cs="仿宋"/>
          <w:color w:val="000000" w:themeColor="text1"/>
          <w:sz w:val="32"/>
          <w:szCs w:val="32"/>
        </w:rPr>
        <w:t>所有采购项目（含追加预算的项目），应当按规定纳入本院年度采购预算和采购计划后方可实施。</w:t>
      </w:r>
    </w:p>
    <w:p>
      <w:pPr>
        <w:widowControl/>
        <w:tabs>
          <w:tab w:val="left" w:pos="4860"/>
          <w:tab w:val="left" w:pos="5760"/>
        </w:tabs>
        <w:adjustRightInd w:val="0"/>
        <w:snapToGrid w:val="0"/>
        <w:spacing w:beforeLines="50" w:afterLines="50" w:line="600" w:lineRule="exact"/>
        <w:ind w:right="-50" w:rightChars="-24"/>
        <w:jc w:val="center"/>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 xml:space="preserve"> </w:t>
      </w:r>
    </w:p>
    <w:p>
      <w:pPr>
        <w:widowControl/>
        <w:tabs>
          <w:tab w:val="left" w:pos="4860"/>
          <w:tab w:val="left" w:pos="5760"/>
        </w:tabs>
        <w:adjustRightInd w:val="0"/>
        <w:snapToGrid w:val="0"/>
        <w:spacing w:beforeLines="50" w:afterLines="50" w:line="600" w:lineRule="exact"/>
        <w:ind w:right="-50" w:rightChars="-24"/>
        <w:jc w:val="center"/>
        <w:rPr>
          <w:rFonts w:ascii="仿宋" w:hAnsi="仿宋" w:eastAsia="仿宋" w:cs="仿宋"/>
          <w:b/>
          <w:bCs/>
          <w:color w:val="000000" w:themeColor="text1"/>
          <w:sz w:val="32"/>
          <w:szCs w:val="32"/>
        </w:rPr>
      </w:pPr>
      <w:r>
        <w:rPr>
          <w:rFonts w:hint="eastAsia" w:ascii="黑体" w:hAnsi="仿宋" w:eastAsia="黑体" w:cs="仿宋"/>
          <w:bCs/>
          <w:color w:val="000000" w:themeColor="text1"/>
          <w:sz w:val="32"/>
          <w:szCs w:val="32"/>
        </w:rPr>
        <w:t>第二章  组织机构与职责分工</w:t>
      </w:r>
    </w:p>
    <w:p>
      <w:pPr>
        <w:widowControl/>
        <w:adjustRightInd w:val="0"/>
        <w:snapToGrid w:val="0"/>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第九条  </w:t>
      </w:r>
      <w:r>
        <w:rPr>
          <w:rFonts w:hint="eastAsia" w:ascii="仿宋" w:hAnsi="仿宋" w:eastAsia="仿宋" w:cs="仿宋"/>
          <w:color w:val="000000" w:themeColor="text1"/>
          <w:sz w:val="32"/>
          <w:szCs w:val="32"/>
        </w:rPr>
        <w:t>院机关成立采购工作领导小组，为院机关采购工作的领导和决策机构。由党组书记、院长任组长，党组副书记、副院长任常务副组长，其他院领导任副组长，</w:t>
      </w:r>
      <w:r>
        <w:rPr>
          <w:rFonts w:ascii="仿宋" w:hAnsi="仿宋" w:eastAsia="仿宋" w:cs="仿宋"/>
          <w:color w:val="000000" w:themeColor="text1"/>
          <w:sz w:val="32"/>
          <w:szCs w:val="32"/>
        </w:rPr>
        <w:t>各部室所</w:t>
      </w:r>
      <w:r>
        <w:rPr>
          <w:rFonts w:hint="eastAsia" w:ascii="仿宋" w:hAnsi="仿宋" w:eastAsia="仿宋" w:cs="仿宋"/>
          <w:color w:val="000000" w:themeColor="text1"/>
          <w:sz w:val="32"/>
          <w:szCs w:val="32"/>
        </w:rPr>
        <w:t>主要负责人和机关党委常务副书记、机关纪委书记、院办公室分管副主任为成员。履行下列主要职责：</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（一）领导本院采购工作，组织召开领导小组会议，研究政府采购重要事项；</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（二）贯彻落实国家有关采购工作法律法规以及上级主管部门有关决策部署；</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（三）审定本院年度采购方案、招标文件、评标报告、采购合同等；</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（四）根据本院年度采购预算审议年度采购项目；</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（五）审定本院直接推荐的评审专家、招标代理机构；</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六</w:t>
      </w:r>
      <w:r>
        <w:rPr>
          <w:rFonts w:hint="eastAsia" w:ascii="仿宋" w:hAnsi="仿宋" w:eastAsia="仿宋" w:cs="仿宋"/>
          <w:color w:val="000000" w:themeColor="text1"/>
          <w:sz w:val="32"/>
          <w:szCs w:val="32"/>
        </w:rPr>
        <w:t>）研究决定与政府采购工作有关的其他重大事项。</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第十条</w:t>
      </w:r>
      <w:r>
        <w:rPr>
          <w:rFonts w:hint="eastAsia" w:ascii="仿宋" w:hAnsi="仿宋" w:eastAsia="仿宋" w:cs="仿宋"/>
          <w:bCs/>
          <w:color w:val="000000" w:themeColor="text1"/>
          <w:sz w:val="32"/>
          <w:szCs w:val="32"/>
        </w:rPr>
        <w:t xml:space="preserve">  </w:t>
      </w:r>
      <w:r>
        <w:rPr>
          <w:rFonts w:hint="eastAsia" w:ascii="仿宋" w:hAnsi="仿宋" w:eastAsia="仿宋" w:cs="仿宋"/>
          <w:color w:val="000000" w:themeColor="text1"/>
          <w:sz w:val="32"/>
          <w:szCs w:val="32"/>
        </w:rPr>
        <w:t>采购领导小组下设采购工作办公室（以下简称采购办），院办公室主任兼任采购办主任，机关纪委书记、院办公室分管副主任兼任副主任。采购办内设采购组和监督组，办公室主任兼任采购组组长，办公室分管副主任兼任采购组副组长，</w:t>
      </w:r>
      <w:r>
        <w:rPr>
          <w:rFonts w:ascii="仿宋" w:hAnsi="仿宋" w:eastAsia="仿宋" w:cs="仿宋"/>
          <w:color w:val="000000" w:themeColor="text1"/>
          <w:sz w:val="32"/>
          <w:szCs w:val="32"/>
        </w:rPr>
        <w:t>各部室所</w:t>
      </w:r>
      <w:r>
        <w:rPr>
          <w:rFonts w:hint="eastAsia" w:ascii="仿宋" w:hAnsi="仿宋" w:eastAsia="仿宋" w:cs="仿宋"/>
          <w:color w:val="000000" w:themeColor="text1"/>
          <w:sz w:val="32"/>
          <w:szCs w:val="32"/>
        </w:rPr>
        <w:t>有关工作人员为组员；院机关纪委书记任监督组组长，其他机关纪委委员为组员。机关日常采购工作由采购办组织实施，涉及相关</w:t>
      </w:r>
      <w:r>
        <w:rPr>
          <w:rFonts w:ascii="仿宋" w:hAnsi="仿宋" w:eastAsia="仿宋" w:cs="仿宋"/>
          <w:color w:val="000000" w:themeColor="text1"/>
          <w:sz w:val="32"/>
          <w:szCs w:val="32"/>
        </w:rPr>
        <w:t>部室所</w:t>
      </w:r>
      <w:r>
        <w:rPr>
          <w:rFonts w:hint="eastAsia" w:ascii="仿宋" w:hAnsi="仿宋" w:eastAsia="仿宋" w:cs="仿宋"/>
          <w:color w:val="000000" w:themeColor="text1"/>
          <w:sz w:val="32"/>
          <w:szCs w:val="32"/>
        </w:rPr>
        <w:t>的，相关</w:t>
      </w:r>
      <w:r>
        <w:rPr>
          <w:rFonts w:ascii="仿宋" w:hAnsi="仿宋" w:eastAsia="仿宋" w:cs="仿宋"/>
          <w:color w:val="000000" w:themeColor="text1"/>
          <w:sz w:val="32"/>
          <w:szCs w:val="32"/>
        </w:rPr>
        <w:t>部室所</w:t>
      </w:r>
      <w:r>
        <w:rPr>
          <w:rFonts w:hint="eastAsia" w:ascii="仿宋" w:hAnsi="仿宋" w:eastAsia="仿宋" w:cs="仿宋"/>
          <w:color w:val="000000" w:themeColor="text1"/>
          <w:sz w:val="32"/>
          <w:szCs w:val="32"/>
        </w:rPr>
        <w:t>主要负责人或其委派人员全程参与，机关纪委实行全程交叉监督。</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第十一条  </w:t>
      </w:r>
      <w:r>
        <w:rPr>
          <w:rFonts w:hint="eastAsia" w:ascii="仿宋" w:hAnsi="仿宋" w:eastAsia="仿宋" w:cs="仿宋"/>
          <w:color w:val="000000" w:themeColor="text1"/>
          <w:sz w:val="32"/>
          <w:szCs w:val="32"/>
        </w:rPr>
        <w:t>采购办主要职责:</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（一）宣传贯彻国家、省政府采购政策；执行本院政府采购管理制度；</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（二）与采购需求部门共同组织评估本院政府采购项目，统筹制定落实政府采购的具体方案（包括但不限于拟定采购文件、提出采购建议等），按规定报采购领导小组审定；</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（三）参与采购需求评审，协调采购代理机构组织评审专家对招标文件进行论证，协调代理机构抽取评标专家，参加招标会议；</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（四）负责统筹、初审、汇总本院项目采购预算、政府采购实施计划的申报工作；</w:t>
      </w:r>
    </w:p>
    <w:p>
      <w:pPr>
        <w:widowControl/>
        <w:tabs>
          <w:tab w:val="left" w:pos="825"/>
        </w:tabs>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（五）负责采购项目前期的市场调研与考察；</w:t>
      </w:r>
    </w:p>
    <w:p>
      <w:pPr>
        <w:widowControl/>
        <w:spacing w:line="600" w:lineRule="exact"/>
        <w:ind w:right="-50" w:rightChars="-24" w:firstLine="640" w:firstLineChars="200"/>
        <w:rPr>
          <w:rFonts w:ascii="仿宋" w:hAnsi="仿宋" w:eastAsia="仿宋" w:cs="仿宋"/>
          <w:color w:val="000000" w:themeColor="text1"/>
          <w:sz w:val="32"/>
          <w:szCs w:val="32"/>
          <w:highlight w:val="yellow"/>
        </w:rPr>
      </w:pPr>
      <w:r>
        <w:rPr>
          <w:rFonts w:hint="eastAsia" w:ascii="仿宋" w:hAnsi="仿宋" w:eastAsia="仿宋" w:cs="仿宋"/>
          <w:color w:val="000000" w:themeColor="text1"/>
          <w:sz w:val="32"/>
          <w:szCs w:val="32"/>
        </w:rPr>
        <w:t>（六）负责提出本院推荐的</w:t>
      </w:r>
      <w:r>
        <w:rPr>
          <w:rFonts w:ascii="仿宋" w:hAnsi="仿宋" w:eastAsia="仿宋" w:cs="仿宋"/>
          <w:color w:val="000000" w:themeColor="text1"/>
          <w:sz w:val="32"/>
          <w:szCs w:val="32"/>
        </w:rPr>
        <w:t>评</w:t>
      </w:r>
      <w:r>
        <w:rPr>
          <w:rFonts w:hint="eastAsia" w:ascii="仿宋" w:hAnsi="仿宋" w:eastAsia="仿宋" w:cs="仿宋"/>
          <w:color w:val="000000" w:themeColor="text1"/>
          <w:sz w:val="32"/>
          <w:szCs w:val="32"/>
        </w:rPr>
        <w:t>审</w:t>
      </w:r>
      <w:r>
        <w:rPr>
          <w:rFonts w:ascii="仿宋" w:hAnsi="仿宋" w:eastAsia="仿宋" w:cs="仿宋"/>
          <w:color w:val="000000" w:themeColor="text1"/>
          <w:sz w:val="32"/>
          <w:szCs w:val="32"/>
        </w:rPr>
        <w:t>专家</w:t>
      </w:r>
      <w:r>
        <w:rPr>
          <w:rFonts w:hint="eastAsia" w:ascii="仿宋" w:hAnsi="仿宋" w:eastAsia="仿宋" w:cs="仿宋"/>
          <w:color w:val="000000" w:themeColor="text1"/>
          <w:sz w:val="32"/>
          <w:szCs w:val="32"/>
        </w:rPr>
        <w:t>、招标代理机构和供应商建议名单；</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（七）负责采购活动的组织实施，包括采购信息发布、接受投标报名、考察投标单位、组织开评标、发布中标通知书和中标公告等；</w:t>
      </w:r>
    </w:p>
    <w:p>
      <w:pPr>
        <w:widowControl/>
        <w:spacing w:line="600" w:lineRule="exact"/>
        <w:ind w:right="-50" w:rightChars="-24"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（八）协助处理政府采购活动质疑、投诉；依法配合财政部门对投诉事项作出书面说明，并提交相关证据、依据和其他有关材料。</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（九）组织指导采购项目合同书的拟订、评审（包括合法性审核）、修改、签订和项目验收等工作；</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（十）负责所有采购项目相关的会议记录、资料的整理、立卷归档和移交工作；</w:t>
      </w:r>
    </w:p>
    <w:p>
      <w:pPr>
        <w:widowControl/>
        <w:tabs>
          <w:tab w:val="left" w:pos="1545"/>
        </w:tabs>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（十一）负责电子卖场平台的管理</w:t>
      </w:r>
      <w:bookmarkStart w:id="0" w:name="page6"/>
      <w:bookmarkEnd w:id="0"/>
      <w:r>
        <w:rPr>
          <w:rFonts w:hint="eastAsia" w:ascii="仿宋" w:hAnsi="仿宋" w:eastAsia="仿宋" w:cs="仿宋"/>
          <w:color w:val="000000" w:themeColor="text1"/>
          <w:sz w:val="32"/>
          <w:szCs w:val="32"/>
        </w:rPr>
        <w:t>；</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（十二）负责采购项目实施及后期使用情况的检查回访工作；</w:t>
      </w:r>
    </w:p>
    <w:p>
      <w:pPr>
        <w:widowControl/>
        <w:tabs>
          <w:tab w:val="left" w:pos="1545"/>
        </w:tabs>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（十三）协助处理相关合同的法律纠纷；</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（十四）完成本院负责人或采购领导小组交办的其他工作。</w:t>
      </w:r>
    </w:p>
    <w:p>
      <w:pPr>
        <w:widowControl/>
        <w:spacing w:line="600" w:lineRule="exact"/>
        <w:ind w:right="-50" w:rightChars="-24" w:firstLine="627" w:firstLineChars="196"/>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第十二条</w:t>
      </w:r>
      <w:r>
        <w:rPr>
          <w:rFonts w:hint="eastAsia" w:ascii="仿宋" w:hAnsi="仿宋" w:eastAsia="仿宋" w:cs="仿宋"/>
          <w:color w:val="000000" w:themeColor="text1"/>
          <w:sz w:val="32"/>
          <w:szCs w:val="32"/>
        </w:rPr>
        <w:t xml:space="preserve">  财务部门的主要职责：</w:t>
      </w:r>
    </w:p>
    <w:p>
      <w:pPr>
        <w:widowControl/>
        <w:tabs>
          <w:tab w:val="left" w:pos="1545"/>
        </w:tabs>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（一）对报批项目资金保障情况提出意见；</w:t>
      </w:r>
    </w:p>
    <w:p>
      <w:pPr>
        <w:widowControl/>
        <w:tabs>
          <w:tab w:val="left" w:pos="1545"/>
        </w:tabs>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（二）负责审查采购文件中费用支付方式的合规性；</w:t>
      </w:r>
    </w:p>
    <w:p>
      <w:pPr>
        <w:widowControl/>
        <w:tabs>
          <w:tab w:val="left" w:pos="1545"/>
        </w:tabs>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（三）根据采购项目验收单或审核报告支付价款；</w:t>
      </w:r>
    </w:p>
    <w:p>
      <w:pPr>
        <w:widowControl/>
        <w:tabs>
          <w:tab w:val="left" w:pos="1545"/>
        </w:tabs>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w:t>
      </w:r>
      <w:r>
        <w:rPr>
          <w:rFonts w:ascii="仿宋" w:hAnsi="仿宋" w:eastAsia="仿宋" w:cs="仿宋"/>
          <w:color w:val="000000" w:themeColor="text1"/>
          <w:sz w:val="32"/>
          <w:szCs w:val="32"/>
        </w:rPr>
        <w:t>组织</w:t>
      </w:r>
      <w:r>
        <w:rPr>
          <w:rFonts w:hint="eastAsia" w:ascii="仿宋" w:hAnsi="仿宋" w:eastAsia="仿宋" w:cs="仿宋"/>
          <w:color w:val="000000" w:themeColor="text1"/>
          <w:sz w:val="32"/>
          <w:szCs w:val="32"/>
        </w:rPr>
        <w:t>对</w:t>
      </w:r>
      <w:r>
        <w:rPr>
          <w:rFonts w:ascii="仿宋" w:hAnsi="仿宋" w:eastAsia="仿宋" w:cs="仿宋"/>
          <w:color w:val="000000" w:themeColor="text1"/>
          <w:sz w:val="32"/>
          <w:szCs w:val="32"/>
        </w:rPr>
        <w:t>项目跟踪审计、</w:t>
      </w:r>
      <w:r>
        <w:rPr>
          <w:rFonts w:hint="eastAsia" w:ascii="仿宋" w:hAnsi="仿宋" w:eastAsia="仿宋" w:cs="仿宋"/>
          <w:color w:val="000000" w:themeColor="text1"/>
          <w:sz w:val="32"/>
          <w:szCs w:val="32"/>
        </w:rPr>
        <w:t>相关项目支出进行绩效评价；</w:t>
      </w:r>
    </w:p>
    <w:p>
      <w:pPr>
        <w:widowControl/>
        <w:tabs>
          <w:tab w:val="left" w:pos="1545"/>
        </w:tabs>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（五）完成本院负责人或采购领导小组交办的其他工作。</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第十三条</w:t>
      </w:r>
      <w:r>
        <w:rPr>
          <w:rFonts w:hint="eastAsia" w:ascii="仿宋" w:hAnsi="仿宋" w:eastAsia="仿宋" w:cs="仿宋"/>
          <w:color w:val="000000" w:themeColor="text1"/>
          <w:sz w:val="32"/>
          <w:szCs w:val="32"/>
        </w:rPr>
        <w:t xml:space="preserve">  纪检部门的主要职责：</w:t>
      </w:r>
    </w:p>
    <w:p>
      <w:pPr>
        <w:widowControl/>
        <w:tabs>
          <w:tab w:val="left" w:pos="1545"/>
        </w:tabs>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（一）按照相关制度和规定，对采购工作关键环节进行监督；</w:t>
      </w:r>
    </w:p>
    <w:p>
      <w:pPr>
        <w:widowControl/>
        <w:tabs>
          <w:tab w:val="left" w:pos="1545"/>
        </w:tabs>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（二）督促采购办和项目申请部门按采购项目年度计划完成采购工作；</w:t>
      </w:r>
    </w:p>
    <w:p>
      <w:pPr>
        <w:widowControl/>
        <w:tabs>
          <w:tab w:val="left" w:pos="825"/>
        </w:tabs>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（三）监督采购项目前期的市场调研与考察；</w:t>
      </w:r>
    </w:p>
    <w:p>
      <w:pPr>
        <w:widowControl/>
        <w:tabs>
          <w:tab w:val="left" w:pos="1545"/>
        </w:tabs>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（四）联合审计部门、财务部门按照工作计划开展专项检查；</w:t>
      </w:r>
    </w:p>
    <w:p>
      <w:pPr>
        <w:widowControl/>
        <w:tabs>
          <w:tab w:val="left" w:pos="1545"/>
        </w:tabs>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（五）受理采购投诉，并将结果上报采购领导小组；</w:t>
      </w:r>
    </w:p>
    <w:p>
      <w:pPr>
        <w:widowControl/>
        <w:tabs>
          <w:tab w:val="left" w:pos="1545"/>
        </w:tabs>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（六）完成本院负责人或采购领导小组交办的其他工作。</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第十四条  </w:t>
      </w:r>
      <w:r>
        <w:rPr>
          <w:rFonts w:hint="eastAsia" w:ascii="仿宋" w:hAnsi="仿宋" w:eastAsia="仿宋" w:cs="仿宋"/>
          <w:color w:val="000000" w:themeColor="text1"/>
          <w:sz w:val="32"/>
          <w:szCs w:val="32"/>
        </w:rPr>
        <w:t>各部室所是院政府采购的需求和申请部门，在项目策划、项目申报、项目执行和项目绩效等方面负有主体责任。履行下列主要职责：</w:t>
      </w:r>
      <w:bookmarkStart w:id="1" w:name="page5"/>
      <w:bookmarkEnd w:id="1"/>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（一）根据工作需要，进行项目前期可行性研究，针对专业性强、技术难度高的采购项目，邀请采购领导小组成员参与项目可行性、技术方案等论证；</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（二）向采购办申报年度采购预算，根据预算批复，执行采购计划；</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（三）负责因特殊需要必须采购的预算外项目所需资金追加、立项审批等相关前期工作；</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负责采购前期准备工作，提出采购需求，明确项目技术参数，确定项目名称、数量、商品的规格、性能、技术指标及参数、服务需求、采购工作完成时限、投标单位资质等，协助做好工程项目的报建、施工图设计、招标项目预算金额的确定报批等工作，并提前向采购办提交采购计划；</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（五）配合采购办进行市场考察调研；</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（六）参与采购文件、采购合同的会签等有关工作；</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（七）参与项目合同验收和评价工作。</w:t>
      </w:r>
    </w:p>
    <w:p>
      <w:pPr>
        <w:widowControl/>
        <w:spacing w:line="600" w:lineRule="exact"/>
        <w:ind w:right="-50" w:rightChars="-24" w:firstLine="640" w:firstLineChars="200"/>
        <w:rPr>
          <w:rFonts w:ascii="仿宋" w:hAnsi="仿宋" w:eastAsia="仿宋" w:cs="仿宋"/>
          <w:b/>
          <w:bCs/>
          <w:color w:val="000000" w:themeColor="text1"/>
          <w:sz w:val="32"/>
          <w:szCs w:val="32"/>
        </w:rPr>
      </w:pPr>
      <w:r>
        <w:rPr>
          <w:rFonts w:hint="eastAsia" w:ascii="仿宋" w:hAnsi="仿宋" w:eastAsia="仿宋" w:cs="仿宋"/>
          <w:color w:val="000000" w:themeColor="text1"/>
          <w:sz w:val="32"/>
          <w:szCs w:val="32"/>
        </w:rPr>
        <w:t>（八）完成本院负责人或采购领导小组交办的其他工作。</w:t>
      </w:r>
    </w:p>
    <w:p>
      <w:pPr>
        <w:widowControl/>
        <w:tabs>
          <w:tab w:val="left" w:pos="4860"/>
          <w:tab w:val="left" w:pos="5760"/>
        </w:tabs>
        <w:adjustRightInd w:val="0"/>
        <w:snapToGrid w:val="0"/>
        <w:spacing w:beforeLines="50" w:afterLines="50" w:line="600" w:lineRule="exact"/>
        <w:ind w:right="-50" w:rightChars="-24"/>
        <w:jc w:val="center"/>
        <w:rPr>
          <w:rFonts w:ascii="黑体" w:hAnsi="仿宋" w:eastAsia="黑体" w:cs="仿宋"/>
          <w:bCs/>
          <w:color w:val="000000" w:themeColor="text1"/>
          <w:sz w:val="32"/>
          <w:szCs w:val="32"/>
        </w:rPr>
      </w:pPr>
      <w:r>
        <w:rPr>
          <w:rFonts w:hint="eastAsia" w:ascii="黑体" w:hAnsi="仿宋" w:eastAsia="黑体" w:cs="仿宋"/>
          <w:bCs/>
          <w:color w:val="000000" w:themeColor="text1"/>
          <w:sz w:val="32"/>
          <w:szCs w:val="32"/>
        </w:rPr>
        <w:t>第三章  采购预算、采购计划</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第十五条  </w:t>
      </w:r>
      <w:r>
        <w:rPr>
          <w:rFonts w:hint="eastAsia" w:ascii="仿宋" w:hAnsi="仿宋" w:eastAsia="仿宋" w:cs="仿宋"/>
          <w:color w:val="000000" w:themeColor="text1"/>
          <w:sz w:val="32"/>
          <w:szCs w:val="32"/>
        </w:rPr>
        <w:t>采购预算应依照财政部门印发的预算编制依据，严格执行本院预算编制、调整、审核程序。</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部门采购预算是本院预算的一部分，根据财务部门下达的预算和政府下拨的经费，由采购办组织有采购需求的部门编制年度采购预算。</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第十六条  </w:t>
      </w:r>
      <w:r>
        <w:rPr>
          <w:rFonts w:hint="eastAsia" w:ascii="仿宋" w:hAnsi="仿宋" w:eastAsia="仿宋" w:cs="仿宋"/>
          <w:color w:val="000000" w:themeColor="text1"/>
          <w:sz w:val="32"/>
          <w:szCs w:val="32"/>
        </w:rPr>
        <w:t>需求部门编制采购计划，应当符合下列要求：</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（一）逐项列明品目名称、数量、金额、资金来源、建议采购方式、是否进口产品、支付方式等相关内容，其中，相同品目的项目归并编列；</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（二）超过公开招标限额标准的非公开招标采购项目需单独填报，并提供相关依据、论证和证明文件。</w:t>
      </w:r>
    </w:p>
    <w:p>
      <w:pPr>
        <w:widowControl/>
        <w:spacing w:line="600" w:lineRule="exact"/>
        <w:ind w:right="-50" w:rightChars="-24" w:firstLine="632"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w w:val="99"/>
          <w:sz w:val="32"/>
          <w:szCs w:val="32"/>
        </w:rPr>
        <w:t>第十七条</w:t>
      </w:r>
      <w:r>
        <w:rPr>
          <w:rFonts w:hint="eastAsia" w:ascii="仿宋" w:hAnsi="仿宋" w:eastAsia="仿宋" w:cs="仿宋"/>
          <w:color w:val="000000" w:themeColor="text1"/>
          <w:w w:val="99"/>
          <w:sz w:val="32"/>
          <w:szCs w:val="32"/>
        </w:rPr>
        <w:t xml:space="preserve">  </w:t>
      </w:r>
      <w:r>
        <w:rPr>
          <w:rFonts w:hint="eastAsia" w:ascii="仿宋" w:hAnsi="仿宋" w:eastAsia="仿宋" w:cs="仿宋"/>
          <w:color w:val="000000" w:themeColor="text1"/>
          <w:sz w:val="32"/>
          <w:szCs w:val="32"/>
        </w:rPr>
        <w:t>本院采购项目，坚持“有预算才采购、无预算不采购”的原则，无论其经费来源，都应当按本院规定程序申报计划、立项和审批，落实经费后方可实施。</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第十八条</w:t>
      </w:r>
      <w:r>
        <w:rPr>
          <w:rFonts w:hint="eastAsia" w:ascii="仿宋" w:hAnsi="仿宋" w:eastAsia="仿宋" w:cs="仿宋"/>
          <w:color w:val="000000" w:themeColor="text1"/>
          <w:sz w:val="32"/>
          <w:szCs w:val="32"/>
        </w:rPr>
        <w:t xml:space="preserve">  未纳入本院年初采购预算和采购计划的项目，一般不得采购。确需采购的，由需求部门负责人以书面形式报分管院领导批准后向财务部门提出，财务部门初审后报分管财务的院领导审批，再根据有关规定报批。</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第十九条  </w:t>
      </w:r>
      <w:r>
        <w:rPr>
          <w:rFonts w:hint="eastAsia" w:ascii="仿宋" w:hAnsi="仿宋" w:eastAsia="仿宋" w:cs="仿宋"/>
          <w:color w:val="000000" w:themeColor="text1"/>
          <w:sz w:val="32"/>
          <w:szCs w:val="32"/>
        </w:rPr>
        <w:t>应纳入财政投资评审范围的项目，按《湖南省财政投资评审管理实施办法》进行评审，以评审金额作为政府采购项目预算控制数。</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第二十条</w:t>
      </w:r>
      <w:r>
        <w:rPr>
          <w:rFonts w:hint="eastAsia" w:ascii="仿宋" w:hAnsi="仿宋" w:eastAsia="仿宋" w:cs="仿宋"/>
          <w:color w:val="000000" w:themeColor="text1"/>
          <w:sz w:val="32"/>
          <w:szCs w:val="32"/>
        </w:rPr>
        <w:t xml:space="preserve">  根据《湖南省政府采购意向公开工作方案》（湘财购[2020]18号）要求，公开采购意向。采购意向应按照采购项目实行公开。政府采购限额以下，纳入电子卖场的采购项目无需公开，采购限额以上的依法实行政府采购的货物、服务、工程均应公开采购意向。公开时间原则上不得晚于采购活动开始前30日。采购意向的公开渠道为“中国湖南政府采购网”。</w:t>
      </w:r>
    </w:p>
    <w:p>
      <w:pPr>
        <w:widowControl/>
        <w:tabs>
          <w:tab w:val="left" w:pos="4860"/>
          <w:tab w:val="left" w:pos="5760"/>
        </w:tabs>
        <w:adjustRightInd w:val="0"/>
        <w:snapToGrid w:val="0"/>
        <w:spacing w:beforeLines="50" w:afterLines="50" w:line="600" w:lineRule="exact"/>
        <w:ind w:right="-50" w:rightChars="-24"/>
        <w:jc w:val="center"/>
        <w:rPr>
          <w:rFonts w:ascii="黑体" w:hAnsi="仿宋" w:eastAsia="黑体" w:cs="仿宋"/>
          <w:bCs/>
          <w:color w:val="000000" w:themeColor="text1"/>
          <w:sz w:val="32"/>
          <w:szCs w:val="32"/>
        </w:rPr>
      </w:pPr>
      <w:r>
        <w:rPr>
          <w:rFonts w:hint="eastAsia" w:ascii="黑体" w:hAnsi="仿宋" w:eastAsia="黑体" w:cs="仿宋"/>
          <w:bCs/>
          <w:color w:val="000000" w:themeColor="text1"/>
          <w:sz w:val="32"/>
          <w:szCs w:val="32"/>
        </w:rPr>
        <w:t>第四章  立项申请及审批</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第二十一条  </w:t>
      </w:r>
      <w:r>
        <w:rPr>
          <w:rFonts w:hint="eastAsia" w:ascii="仿宋" w:hAnsi="仿宋" w:eastAsia="仿宋" w:cs="仿宋"/>
          <w:color w:val="000000" w:themeColor="text1"/>
          <w:sz w:val="32"/>
          <w:szCs w:val="32"/>
        </w:rPr>
        <w:t>立项申请</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（一）进行采购的项目应当符合下列要求：</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1.已经通过立项审批，并落实采购项目资金；</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2.已列入年度采购预算和采购计划；</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3.能提出具体使用功能、地点、数量、规格或技术、资金等要求，并按相关规定进行了论证。</w:t>
      </w:r>
    </w:p>
    <w:p>
      <w:pPr>
        <w:widowControl/>
        <w:spacing w:line="600" w:lineRule="exact"/>
        <w:ind w:right="-50" w:rightChars="-24" w:firstLine="632" w:firstLineChars="200"/>
        <w:rPr>
          <w:rFonts w:ascii="仿宋" w:hAnsi="仿宋" w:eastAsia="仿宋" w:cs="仿宋"/>
          <w:color w:val="000000" w:themeColor="text1"/>
          <w:sz w:val="32"/>
          <w:szCs w:val="32"/>
        </w:rPr>
      </w:pPr>
      <w:r>
        <w:rPr>
          <w:rFonts w:hint="eastAsia" w:ascii="仿宋" w:hAnsi="仿宋" w:eastAsia="仿宋" w:cs="仿宋"/>
          <w:color w:val="000000" w:themeColor="text1"/>
          <w:w w:val="99"/>
          <w:sz w:val="32"/>
          <w:szCs w:val="32"/>
        </w:rPr>
        <w:t>（</w:t>
      </w:r>
      <w:r>
        <w:rPr>
          <w:rFonts w:hint="eastAsia" w:ascii="仿宋" w:hAnsi="仿宋" w:eastAsia="仿宋" w:cs="仿宋"/>
          <w:color w:val="000000" w:themeColor="text1"/>
          <w:sz w:val="32"/>
          <w:szCs w:val="32"/>
        </w:rPr>
        <w:t>二）需求部门执行采购计划时，应明确采购项目详细的技术、服务、采购数量、采购金额、采购时限，确保资料的真实性、准确性和完整性，经审批后，在采购计划执行时间内将采购申请表及详细的采购需求提交采购办，由采购办提出采购方式的建议。</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第二十二条  </w:t>
      </w:r>
      <w:r>
        <w:rPr>
          <w:rFonts w:hint="eastAsia" w:ascii="仿宋" w:hAnsi="仿宋" w:eastAsia="仿宋" w:cs="仿宋"/>
          <w:color w:val="000000" w:themeColor="text1"/>
          <w:sz w:val="32"/>
          <w:szCs w:val="32"/>
        </w:rPr>
        <w:t>立项审批</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（一）政府集中采购目录以内的项目，由项目需求部门按当年省级政府集中采购目录及政府采购限额标准提出申请，经部门负责人审批后，报采购办汇总，由采购办按规定集中批量采购；</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政府集中采购以外的项目，由项目需求部门按规定提出申请，经分管院领导审批后，报采购办按规定组织实施。专业性强、技术难度高及项目需求部门有论证需求的采购项目，采购办应当组织可行性论证、方案论证；需求明确、规格标准统一、价格透明、市场竞争充分的采购项目，可以不进行论证。</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第二十三条  </w:t>
      </w:r>
      <w:r>
        <w:rPr>
          <w:rFonts w:hint="eastAsia" w:ascii="仿宋" w:hAnsi="仿宋" w:eastAsia="仿宋" w:cs="仿宋"/>
          <w:color w:val="000000" w:themeColor="text1"/>
          <w:sz w:val="32"/>
          <w:szCs w:val="32"/>
        </w:rPr>
        <w:t>原则上年初项目采购预算应当在当年9月30日前完成立项审批。</w:t>
      </w:r>
    </w:p>
    <w:p>
      <w:pPr>
        <w:widowControl/>
        <w:tabs>
          <w:tab w:val="left" w:pos="2174"/>
        </w:tabs>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第二十四条</w:t>
      </w:r>
      <w:r>
        <w:rPr>
          <w:rFonts w:hint="eastAsia" w:ascii="仿宋" w:hAnsi="仿宋" w:eastAsia="仿宋" w:cs="仿宋"/>
          <w:color w:val="000000" w:themeColor="text1"/>
          <w:sz w:val="32"/>
          <w:szCs w:val="32"/>
        </w:rPr>
        <w:t xml:space="preserve">  加强采购工作的计划性，定期集中、汇总采购计划，压缩采购批次，提高审批效率。</w:t>
      </w:r>
    </w:p>
    <w:p>
      <w:pPr>
        <w:widowControl/>
        <w:tabs>
          <w:tab w:val="left" w:pos="4860"/>
          <w:tab w:val="left" w:pos="5760"/>
        </w:tabs>
        <w:adjustRightInd w:val="0"/>
        <w:snapToGrid w:val="0"/>
        <w:spacing w:beforeLines="50" w:afterLines="50" w:line="600" w:lineRule="exact"/>
        <w:ind w:right="-50" w:rightChars="-24"/>
        <w:jc w:val="center"/>
        <w:rPr>
          <w:rFonts w:ascii="黑体" w:hAnsi="仿宋" w:eastAsia="黑体" w:cs="仿宋"/>
          <w:bCs/>
          <w:color w:val="000000" w:themeColor="text1"/>
          <w:sz w:val="32"/>
          <w:szCs w:val="32"/>
        </w:rPr>
      </w:pPr>
      <w:r>
        <w:rPr>
          <w:rFonts w:hint="eastAsia" w:ascii="黑体" w:hAnsi="仿宋" w:eastAsia="黑体" w:cs="仿宋"/>
          <w:bCs/>
          <w:color w:val="000000" w:themeColor="text1"/>
          <w:sz w:val="32"/>
          <w:szCs w:val="32"/>
        </w:rPr>
        <w:t>第五章  采购方式确定及审批</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第二十五条</w:t>
      </w:r>
      <w:r>
        <w:rPr>
          <w:rFonts w:hint="eastAsia" w:ascii="仿宋" w:hAnsi="仿宋" w:eastAsia="仿宋" w:cs="仿宋"/>
          <w:color w:val="000000" w:themeColor="text1"/>
          <w:sz w:val="32"/>
          <w:szCs w:val="32"/>
        </w:rPr>
        <w:t xml:space="preserve">  采购分为公开招标和非公开招标采购方式两类。公开招标，是指以发布招标公告的方式邀请不特定供应商投标的采购方式。达到公开招标限额标准的采购项目原则上均应采取公开招标的采购方式。</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第二十六条  </w:t>
      </w:r>
      <w:r>
        <w:rPr>
          <w:rFonts w:hint="eastAsia" w:ascii="仿宋" w:hAnsi="仿宋" w:eastAsia="仿宋" w:cs="仿宋"/>
          <w:color w:val="000000" w:themeColor="text1"/>
          <w:sz w:val="32"/>
          <w:szCs w:val="32"/>
        </w:rPr>
        <w:t>非公开招标，是指公开招标以外的采购方式，包括邀请招标、竞争性谈判、竞争性磋商、单一来源采购、询价以及省财政厅认定的其他采购方式。</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(一)邀请招标，是指依法从符合相应资格条件的供应商中随机邀请三家以上供应商，并以投标邀请书的方式邀请其参加投标的采购方式。</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符合下列情形之一的货物和服务项目，单位可以采用邀请招标方式采购：</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1.具有特殊性，只能从有限范围的供应商处采购的；</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2.采用公开招标方式的费用占政府采购项目总价值的比例过大的；</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投标人不足三家的，不得开标。</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竞争性谈判，是指谈判小组与符合资格条件的供应商就采购货物、工程和服务事宜进行谈判，供应商按照谈判文件的要求提交响应文件和最后报价，谈判小组从相同条件的最低报价中确定成交供应商的采购方式。</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符合下列条件之一的，经过采购领导小组主要负责人审批，可以申请采用竞争性谈判方式采购：</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1.招标后没有供应商投标或没有合格标的或者重新招标未能成立的；</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2.技术复杂或者性质特殊，不能确定详细规格或者具体要求的；</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3.非采购人所能预见的原因或者非采购人拖延造成采用招标所需时间不能满足用户紧急需要的；</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4.因艺术品采购、专利、专有技术或者服务的时间、数量事先不能确定等原因不能事先计算出价格总额的；</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5.按照招标投标法及其实施条例必须进行招标的工程建设项目以外的工程建设项目。</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(三)竞争性磋商，是指通过组建竞争性磋商小组与符合条件的供应商就采购货物、工程和服务事宜进行磋商，供应商按照磋商文件的要求提供响应文件和报价，磋商小组评标后提出的候选供应商名单的采购方式。</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符合下列条件之一的，可以申请采用竞争性磋商方式采购：</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1.政府购买服务项目；</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2.技术复杂或者性质特殊，不能确定详细规格或具体要求的；</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3.因艺术品采购、专利、专有技术或者服务的时间、数量事先不能确定等原因不能事先计算出价格总额的；</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4.市场竞争不充分的科研项目，以及需要扶持的科技成果转化项目；</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5.按照招标投标法及其实施条例必须进行招标的工程建设项目以外的工程建设项目。</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(四)询价采购，是指询价小组向符合资格条件的供应商发出询价邀请，要求供应商一次报出不得更改的价格，从询价小组提出的成交候选人中确定成交供应商的采购方式。</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采购的货物规格、标准统一，现货货源充足且价格变化幅度小的项目，可申请采用询价采购方式。</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(五)单一来源采购，是指从某一特定供应商处采购货物和服务的一种采购方式。</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符合以下情形之一的货物或服务的，可申请采用单一来源采购方式：</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1.只能从唯一供应商处采购；</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2.发生了不可预见的紧急情况，不能从其他供应商处采购的；</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3.必须保证原有采购项目的一致性或满足服务配套的要求，必须继续从原供应商处添购，且添购资金总额不超过原合同采购金额百分之十的。</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第二十七条  </w:t>
      </w:r>
      <w:r>
        <w:rPr>
          <w:rFonts w:hint="eastAsia" w:ascii="仿宋" w:hAnsi="仿宋" w:eastAsia="仿宋" w:cs="仿宋"/>
          <w:color w:val="000000" w:themeColor="text1"/>
          <w:sz w:val="32"/>
          <w:szCs w:val="32"/>
        </w:rPr>
        <w:t>电子卖场采购，是指适用于政府采购限额标准以下的货物、服务和工程，通过电子卖场平台采购的一种采购方式。</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政府采购限额标准以下的，商品标准明确，品牌型号明确，核心参数明确、参数规格或服务要求明确的货物、服务，原则上应选择电子卖场采购，经投资评审的工程量清单内的工程项目，按照项目实际情况优先选择电子卖场平台采购。</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电子卖场采购方式有直购、竞价、团购三种交易方式。直购适用于零星采购或市场价格透明且价格波动幅度不大的商品，采购人在卖场上柜商品中择优选择，直接向入驻供应商下达采购单的方式；竞价采购适用于采购数量较多、金额较大或价格变动较频繁，通过竞价能体现价格优惠的商品，即采购人发起竞价单，符合要求的供应商在规定时间内响应报价，电子卖场系统自动按照报价最低的规则推荐成交供应商的采购方式。团购是指具有相同采购需求的采购人，邀请信用等级较高的入驻供应商竞价，共同与实质性响应采购需求且报价最低的入驻供应商成交的方式。团购是多个采购人的批量竞价，适用于技术、服务等标准统一的商品。</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（二）采购办按规定做好电子卖场单位信息维护和平台账号、工作流程及操作权限的配置管理，监督管理电子卖场采购行为。</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（三）电子卖场采购根据采购预算金额合理选择电子卖场采购方式，电子卖场商品价格为采购最高限价，需求部门可通过协商议价方式降低采购成本，在同等条件下优先选购价格更低的商品或服务。</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1.单项采购金额在2千元（含）以下，需求部门经采购办主任和部门分管院领导签字批准后，由采购办在电子卖场直购。</w:t>
      </w:r>
    </w:p>
    <w:p>
      <w:pPr>
        <w:widowControl/>
        <w:spacing w:line="600" w:lineRule="exact"/>
        <w:ind w:right="-50" w:rightChars="-24" w:firstLine="640" w:firstLineChars="200"/>
        <w:rPr>
          <w:rFonts w:ascii="仿宋" w:hAnsi="仿宋" w:eastAsia="仿宋" w:cs="仿宋"/>
          <w:color w:val="000000" w:themeColor="text1"/>
          <w:sz w:val="32"/>
          <w:szCs w:val="32"/>
          <w:u w:val="single"/>
        </w:rPr>
      </w:pPr>
      <w:r>
        <w:rPr>
          <w:rFonts w:hint="eastAsia" w:ascii="仿宋" w:hAnsi="仿宋" w:eastAsia="仿宋" w:cs="仿宋"/>
          <w:color w:val="000000" w:themeColor="text1"/>
          <w:sz w:val="32"/>
          <w:szCs w:val="32"/>
        </w:rPr>
        <w:t>2.单项采购金额在2千元以上至2万元（含）的，应由需求部门商同采购办报部门分管院领导和分管财务院领导批准后，通过电子卖场以直购、竞价、团购等适当方式采购。</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单项采购金额在2万元以上至3万元（含）的项目，须经部门分管院领导、分管财务院领导及党组副书记、副院长（政府采购领导小组常务副组长）审批。单项采购金额在3万元以上的项目，须经部门分管院领导、分管财务院领导及党组副书记、副院长审批后，报党组书记、院长（政府采购领导小组组长）签字批准（已经党组会集体研究批准的采购事项，只需政府采购领导小组常务副组长签字）。预算金额超过5万元的新增项目，须经党组会集体研究决定。</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单项采购金额在2万元以上的项目，若采取电子卖场直购的方式采购，原则上需先通过询价或竞争性谈判、竞争性磋商等采购方式确定中标供应商。</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实施采购时，选择直购方式的，具体流程为：项目需求部门按计划或预算填写《湖南省地方志编纂院政府采购申请表》履行审批手续——采购经办人下单——生成预购单——将预购单提交至采购审核人审核——采购审核人通过——系统生成采购合同（系统自动对外发布成交公告）——采购人确认（采购验收单签字）。</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选择竞价方式的，具体流程为：项目需求部门按计划或预算填写《湖南省地方志编纂院政府采购申请表》履行审批手续——采购人发布竞价公告（不少于3个工作日）——采购人发布竞价成交公告（不少于1个工作日）——签订合同（系统自动对外发布合同公告）——采购人确认（采购验收单签字）。</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选择团购方式的，具体流程为：项目需求部门按计划或预算填写《湖南省地方志编纂院政府采购申请表》履行审批手续——采购人发布团购邀请公告（不少于5个工作日，参与团购的采购人最低数量不得少于5人，采购人在发布团购邀请公告时，可向特定的入驻供应商发出邀请；公告应详细列明需求标准、商品的品牌型号、最高单价等, 货物项目可以推荐需求标准相同、2个以上的品牌型号）——签订合同（系统自动对外发布合同公告）——采购人确认（采购验收单签字）。</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（五）电子卖场采购完成后，项目需求部门应当及时在卖场系统中打印采购合同、验收单，在采购完成2个月以内完成财务报销。</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六）电子卖场无法满足采购需求的特殊情况，如采购人在省外、境外的小额采购等，一些特殊商品在电子卖场中找不到的，采购人应邀请相关供应商入驻，供应商不愿入驻的可以作为特殊情况处理。因特殊情况确实无法在电子卖场采购的，采购人应向院采购办报备并说明原因后经其他途径购买。</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（七）电子卖场采购应落实促进节能环保、支持两型产品、支持小微企业发展等政府采购政策，优先选择信用全面、服务好、信誉佳、评价高的供应商。</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（八）简易采购是指不具备在湖南省政府采购电子卖场采购的限额标准以下的货物、服务类和工程类项目。简易采购应当同时满足以下条件：</w:t>
      </w:r>
    </w:p>
    <w:p>
      <w:pPr>
        <w:widowControl/>
        <w:spacing w:line="600" w:lineRule="exact"/>
        <w:ind w:right="-50" w:rightChars="-24" w:firstLine="960" w:firstLineChars="3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1．个人或个体工商户提供相关货物、服务的采购；</w:t>
      </w:r>
    </w:p>
    <w:p>
      <w:pPr>
        <w:widowControl/>
        <w:spacing w:line="600" w:lineRule="exact"/>
        <w:ind w:right="-50" w:rightChars="-24" w:firstLine="960" w:firstLineChars="3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2．采购金额1000元（含）以下的采购项目。</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九</w:t>
      </w:r>
      <w:r>
        <w:rPr>
          <w:rFonts w:hint="eastAsia" w:ascii="仿宋" w:hAnsi="仿宋" w:eastAsia="仿宋" w:cs="仿宋"/>
          <w:color w:val="000000" w:themeColor="text1"/>
          <w:sz w:val="32"/>
          <w:szCs w:val="32"/>
        </w:rPr>
        <w:t>）采购人根据电子卖场平台的提示，及时确认采购单或签订合同，并严格按照合同约定的时间履约验收，在验收通过后1个工作日内发布验收公告。合同有变更的，采购人应公开变更原因。因不可抗拒力导致合同终止的，采购人应及时发布合同终止公告并向省财政厅报备。</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采购人应按照先验收再付款的原则，在入驻供应商申请结算合同款项10个工作日内或按照合同约定的日期及时足额支付合同款项。采购人不得向供应商预付合同款项，验收后应一次付清合同款项，工程、服务项目另有规定的除外。入驻供应商验收结算后拒不履行售后服务义务或被发现以虚假资料谋取成交、以假冒伪劣骗取验收的，采购人应及时向省财政厅报告。</w:t>
      </w:r>
    </w:p>
    <w:p>
      <w:pPr>
        <w:widowControl/>
        <w:spacing w:line="600" w:lineRule="exact"/>
        <w:ind w:right="-50" w:rightChars="-24" w:firstLine="800" w:firstLineChars="25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第二十八条  </w:t>
      </w:r>
      <w:r>
        <w:rPr>
          <w:rFonts w:hint="eastAsia" w:ascii="仿宋" w:hAnsi="仿宋" w:eastAsia="仿宋" w:cs="仿宋"/>
          <w:color w:val="000000" w:themeColor="text1"/>
          <w:sz w:val="32"/>
          <w:szCs w:val="32"/>
        </w:rPr>
        <w:t>需求部门在一个财政年度内，将一个预算项目下的同一品目或类别的货物、服务项目，以化整为零方式多次采购，累计资金数额超过政府采购标准限额的，属于规避政府采购。</w:t>
      </w:r>
    </w:p>
    <w:p>
      <w:pPr>
        <w:widowControl/>
        <w:tabs>
          <w:tab w:val="left" w:pos="4860"/>
          <w:tab w:val="left" w:pos="5760"/>
        </w:tabs>
        <w:adjustRightInd w:val="0"/>
        <w:snapToGrid w:val="0"/>
        <w:spacing w:beforeLines="50" w:afterLines="50" w:line="600" w:lineRule="exact"/>
        <w:ind w:right="-50" w:rightChars="-24"/>
        <w:jc w:val="center"/>
        <w:rPr>
          <w:rFonts w:ascii="黑体" w:hAnsi="仿宋" w:eastAsia="黑体" w:cs="仿宋"/>
          <w:bCs/>
          <w:color w:val="000000" w:themeColor="text1"/>
          <w:sz w:val="32"/>
          <w:szCs w:val="32"/>
        </w:rPr>
      </w:pPr>
      <w:r>
        <w:rPr>
          <w:rFonts w:hint="eastAsia" w:ascii="黑体" w:hAnsi="仿宋" w:eastAsia="黑体" w:cs="仿宋"/>
          <w:bCs/>
          <w:color w:val="000000" w:themeColor="text1"/>
          <w:sz w:val="32"/>
          <w:szCs w:val="32"/>
        </w:rPr>
        <w:t>第六章  采购的实施</w:t>
      </w:r>
    </w:p>
    <w:p>
      <w:pPr>
        <w:widowControl/>
        <w:spacing w:line="600" w:lineRule="exact"/>
        <w:ind w:right="-50" w:rightChars="-24" w:firstLine="640" w:firstLineChars="200"/>
        <w:rPr>
          <w:rFonts w:ascii="仿宋" w:hAnsi="仿宋" w:eastAsia="仿宋" w:cs="仿宋"/>
          <w:bCs/>
          <w:color w:val="000000" w:themeColor="text1"/>
          <w:sz w:val="32"/>
          <w:szCs w:val="32"/>
        </w:rPr>
      </w:pPr>
      <w:r>
        <w:rPr>
          <w:rFonts w:hint="eastAsia" w:ascii="仿宋" w:hAnsi="仿宋" w:eastAsia="仿宋" w:cs="仿宋"/>
          <w:b/>
          <w:bCs/>
          <w:color w:val="000000" w:themeColor="text1"/>
          <w:sz w:val="32"/>
          <w:szCs w:val="32"/>
        </w:rPr>
        <w:t xml:space="preserve">第二十九条  </w:t>
      </w:r>
      <w:r>
        <w:rPr>
          <w:rFonts w:hint="eastAsia" w:ascii="仿宋" w:hAnsi="仿宋" w:eastAsia="仿宋" w:cs="仿宋"/>
          <w:color w:val="000000" w:themeColor="text1"/>
          <w:sz w:val="32"/>
          <w:szCs w:val="32"/>
        </w:rPr>
        <w:t>集</w:t>
      </w:r>
      <w:r>
        <w:rPr>
          <w:rFonts w:hint="eastAsia" w:ascii="仿宋" w:hAnsi="仿宋" w:eastAsia="仿宋" w:cs="仿宋"/>
          <w:bCs/>
          <w:color w:val="000000" w:themeColor="text1"/>
          <w:sz w:val="32"/>
          <w:szCs w:val="32"/>
        </w:rPr>
        <w:t>中采购目录内且限额标准以上的政府采购项目应当委托集中采购机构采购。分散采购的项目可自主选择采购代理机构。委托采购代理机构办理采购事宜的，须签订委托代理协议，明确双方权利和责任，明确代理机构收费标准，不得转嫁政府采购主体责任。</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第三十条</w:t>
      </w:r>
      <w:r>
        <w:rPr>
          <w:rFonts w:hint="eastAsia" w:ascii="仿宋" w:hAnsi="仿宋" w:eastAsia="仿宋" w:cs="仿宋"/>
          <w:bCs/>
          <w:color w:val="000000" w:themeColor="text1"/>
          <w:sz w:val="32"/>
          <w:szCs w:val="32"/>
        </w:rPr>
        <w:t xml:space="preserve">  </w:t>
      </w:r>
      <w:r>
        <w:rPr>
          <w:rFonts w:hint="eastAsia" w:ascii="仿宋" w:hAnsi="仿宋" w:eastAsia="仿宋" w:cs="仿宋"/>
          <w:color w:val="000000" w:themeColor="text1"/>
          <w:sz w:val="32"/>
          <w:szCs w:val="32"/>
        </w:rPr>
        <w:t>政府采购实施应当有助于实现经济和社会发展目标，包括节约资源、保护环境、支持创新、促进中小企业发展、扶持不发达地区和少数民族地区、维护弱势群体利益等。主要政策包括：节能和节水产品采购、“两型”产品采购、促进中小企业（包含监狱企业和残疾人福利企业）发展的政府采购预留份额、政府采购支持消费扶贫等。</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第三十一条  </w:t>
      </w:r>
      <w:r>
        <w:rPr>
          <w:rFonts w:hint="eastAsia" w:ascii="仿宋" w:hAnsi="仿宋" w:eastAsia="仿宋" w:cs="仿宋"/>
          <w:color w:val="000000" w:themeColor="text1"/>
          <w:sz w:val="32"/>
          <w:szCs w:val="32"/>
        </w:rPr>
        <w:t>为盘活利用闲置资产，建设节约型机关，根据《湖南省省级行政事业单位公物仓管理暂行办法》文件精神，新增资产配置的采购，应当优先考虑通过公物仓调剂方式解决。</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第三十二条  </w:t>
      </w:r>
      <w:r>
        <w:rPr>
          <w:rFonts w:hint="eastAsia" w:ascii="仿宋" w:hAnsi="仿宋" w:eastAsia="仿宋" w:cs="仿宋"/>
          <w:color w:val="000000" w:themeColor="text1"/>
          <w:sz w:val="32"/>
          <w:szCs w:val="32"/>
        </w:rPr>
        <w:t>招标文件编制、审核与发布</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（一）集中采购项目采购文件编制、审核及发布的工作程序：</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招标文件的编制：采购办根据项目需求部门提供的货物、服务和工程的品名、数量、参数要求、服务质量、工程标准、采购预算、可行性论证、合理性建议及售后服务要求，充分调研，形成招标文件的初稿。不得设置歧视性和排他性条件，排斥潜在供应商。具体参照中华人民共和国国务院令第722号《优化营商环境条例》执行。</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2.招标文件的审核：采购办将招标文件初稿提交项目申请部门领导审核，财务部门、纪检监察部门对相应的部分进行审核，采购办根据审核意见修改完善形成终稿。</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采购文件的签发及发布：3.采购文件的签发及发布：单项采购金额在2千元（含）以下的项目，采购文件报采购办主任审批；单项采购金额在2千元以上5万元（含）以下的项目，采购文件需报采购领导小组相关副组长审批；单项采购金额5万元以上的项目，采购文件报采购领导小组相关副组长审批后，需报告采购领导小组组长。</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全部使用国有资金或国有资金投资为主的新建、改建、扩建的房屋建筑及市政基础设施工程采用总承包模式实施的招标项目，由采购领导小组在采购文件中明确授标方式和定标方法，并在主管部门指定的媒体发布公告。</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双备案管理”。预算资金实行招投标的工程项目，除执行招投标管理规定外，还应按照政府采购管理要求，在财政部门政府采购电子平台录入项目计划，把招投标信息公告链接到中国湖南政府采购网予以公开。</w:t>
      </w:r>
    </w:p>
    <w:p>
      <w:pPr>
        <w:widowControl/>
        <w:spacing w:line="600" w:lineRule="exact"/>
        <w:ind w:right="-50" w:rightChars="-24" w:firstLine="640" w:firstLineChars="200"/>
        <w:jc w:val="left"/>
        <w:rPr>
          <w:rFonts w:ascii="仿宋" w:hAnsi="仿宋" w:eastAsia="仿宋" w:cs="仿宋"/>
          <w:bCs/>
          <w:color w:val="000000" w:themeColor="text1"/>
          <w:sz w:val="32"/>
          <w:szCs w:val="32"/>
        </w:rPr>
      </w:pPr>
      <w:r>
        <w:rPr>
          <w:rFonts w:hint="eastAsia" w:ascii="仿宋" w:hAnsi="仿宋" w:eastAsia="仿宋" w:cs="仿宋"/>
          <w:b/>
          <w:bCs/>
          <w:color w:val="000000" w:themeColor="text1"/>
          <w:sz w:val="32"/>
          <w:szCs w:val="32"/>
        </w:rPr>
        <w:t>第三十三条</w:t>
      </w:r>
      <w:r>
        <w:rPr>
          <w:rFonts w:hint="eastAsia" w:ascii="仿宋" w:hAnsi="仿宋" w:eastAsia="仿宋" w:cs="仿宋"/>
          <w:color w:val="000000" w:themeColor="text1"/>
          <w:sz w:val="32"/>
          <w:szCs w:val="32"/>
        </w:rPr>
        <w:t xml:space="preserve">  </w:t>
      </w:r>
      <w:r>
        <w:rPr>
          <w:rFonts w:hint="eastAsia" w:ascii="仿宋" w:hAnsi="仿宋" w:eastAsia="仿宋" w:cs="仿宋"/>
          <w:bCs/>
          <w:color w:val="000000" w:themeColor="text1"/>
          <w:sz w:val="32"/>
          <w:szCs w:val="32"/>
        </w:rPr>
        <w:t>单一来源采购方式报批要件包括：申请报告、内部会商意见、专业人员论证单一来源唯一性、项目预算审核机制、主管预算单位审核文件以及单一来源法定公示期满且无异议等。</w:t>
      </w:r>
    </w:p>
    <w:p>
      <w:pPr>
        <w:widowControl/>
        <w:spacing w:line="600" w:lineRule="exact"/>
        <w:ind w:right="-50" w:rightChars="-24" w:firstLine="640" w:firstLineChars="200"/>
        <w:jc w:val="left"/>
        <w:rPr>
          <w:rFonts w:ascii="仿宋" w:hAnsi="仿宋" w:eastAsia="仿宋" w:cs="仿宋"/>
          <w:bCs/>
          <w:color w:val="000000" w:themeColor="text1"/>
          <w:sz w:val="32"/>
          <w:szCs w:val="32"/>
        </w:rPr>
      </w:pPr>
      <w:r>
        <w:rPr>
          <w:rFonts w:hint="eastAsia" w:ascii="仿宋" w:hAnsi="仿宋" w:eastAsia="仿宋" w:cs="仿宋"/>
          <w:b/>
          <w:bCs/>
          <w:color w:val="000000" w:themeColor="text1"/>
          <w:sz w:val="32"/>
          <w:szCs w:val="32"/>
        </w:rPr>
        <w:t>第三十四条</w:t>
      </w:r>
      <w:r>
        <w:rPr>
          <w:rFonts w:hint="eastAsia" w:ascii="仿宋" w:hAnsi="仿宋" w:eastAsia="仿宋" w:cs="仿宋"/>
          <w:bCs/>
          <w:color w:val="000000" w:themeColor="text1"/>
          <w:sz w:val="32"/>
          <w:szCs w:val="32"/>
        </w:rPr>
        <w:t xml:space="preserve">  采购项目需采购进口产品的，应当在开展采购活动前按相关程序报批。进口产品报批要件包括：申请表、内部会商意见、专业人员对产品进口必要性的论证、本院签署审核意见等。</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第三十五条</w:t>
      </w:r>
      <w:r>
        <w:rPr>
          <w:rFonts w:hint="eastAsia" w:ascii="仿宋" w:hAnsi="仿宋" w:eastAsia="仿宋" w:cs="仿宋"/>
          <w:color w:val="000000" w:themeColor="text1"/>
          <w:sz w:val="32"/>
          <w:szCs w:val="32"/>
        </w:rPr>
        <w:t xml:space="preserve">  采购文件。投标文件应包括采购需求、投标人资格条件、政府采购政策要求与执行措施、一次性密封报价等投标报价要求、评标方法和标准以及拟签合同文本等事项。根据采购项目需求特点和绩效目标，围绕能够体现货物和服务的质量、价格、效率等关键因素，科学设置评审因素。在竞争性磋商或竞争性谈判中，客观评审因素应设置固定分值，主观评审因素应细化分值并缩小自由裁量区间。所有采购文件发布前，本院采购办应进行内部法务审查，做到完整、合法、规范，表述准确，无歧义。</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第三十六条  </w:t>
      </w:r>
      <w:r>
        <w:rPr>
          <w:rFonts w:hint="eastAsia" w:ascii="仿宋" w:hAnsi="仿宋" w:eastAsia="仿宋" w:cs="仿宋"/>
          <w:color w:val="000000" w:themeColor="text1"/>
          <w:sz w:val="32"/>
          <w:szCs w:val="32"/>
        </w:rPr>
        <w:t>对参与政府采购活动的供应商，实行“承诺+信用管理”准入管理制度，供应商书面承诺符合参与政府采购活动资格条件且没有税收缴纳、社会保障等方面失信记录，即可参加政府采购活动。</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第三十七条  </w:t>
      </w:r>
      <w:r>
        <w:rPr>
          <w:rFonts w:hint="eastAsia" w:ascii="仿宋" w:hAnsi="仿宋" w:eastAsia="仿宋" w:cs="仿宋"/>
          <w:color w:val="000000" w:themeColor="text1"/>
          <w:sz w:val="32"/>
          <w:szCs w:val="32"/>
        </w:rPr>
        <w:t>所有招标、谈判文件的正本及其他相关资料由采购办整理登记归档。</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第三十八条  </w:t>
      </w:r>
      <w:r>
        <w:rPr>
          <w:rFonts w:hint="eastAsia" w:ascii="仿宋" w:hAnsi="仿宋" w:eastAsia="仿宋" w:cs="仿宋"/>
          <w:color w:val="000000" w:themeColor="text1"/>
          <w:sz w:val="32"/>
          <w:szCs w:val="32"/>
        </w:rPr>
        <w:t>单位内部组织非公开招标采购工作基本流程：</w:t>
      </w:r>
    </w:p>
    <w:p>
      <w:pPr>
        <w:widowControl/>
        <w:spacing w:line="600" w:lineRule="exact"/>
        <w:ind w:right="-50" w:rightChars="-24" w:firstLine="640" w:firstLineChars="200"/>
        <w:rPr>
          <w:rFonts w:ascii="仿宋" w:hAnsi="仿宋" w:eastAsia="仿宋" w:cs="仿宋"/>
          <w:color w:val="000000" w:themeColor="text1"/>
          <w:sz w:val="32"/>
          <w:szCs w:val="32"/>
          <w:highlight w:val="yellow"/>
        </w:rPr>
      </w:pPr>
      <w:r>
        <w:rPr>
          <w:rFonts w:hint="eastAsia" w:ascii="仿宋" w:hAnsi="仿宋" w:eastAsia="仿宋" w:cs="仿宋"/>
          <w:color w:val="000000" w:themeColor="text1"/>
          <w:sz w:val="32"/>
          <w:szCs w:val="32"/>
        </w:rPr>
        <w:t>（一）发布招标公告。采购办一般应在本院官方网站发布招标公告；根据相关制度不需要公开发布招标公告的政府采购限额内询价采购项目，由院采购组3-5人，监督组2人以上，通过市场调研、政府采购电子卖场对比等方式确定不少于3家符合规定的候选供应商。</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（二）接受报名，资格审查。采购办接受投标人报名，进行资格初审，审查合格者可领取招标文件；</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（三）接受投标文件。投标单位在规定的时间内将密封完好的投标文件正、副本送达采购办；</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（四）成立内部会商采购小组。内部会商采购小组成员由采购组和监督组构成，采购组成员由采购办成员及涉及采购事项相关需求部门人员组成，监督组成员由纪检检查部门选取。</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内部会商采购小组工作任务具体由采购组组长下达；</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（五）组织内部会商采购小组评审会。采购办具体组织评审工作，记录评审会议情况；</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（六）组织评审。内部会商小组根据招标文件进行评审，出具评审报告，经采购领导小组同意后，确定中标候选人；</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（七）公示。确定中标候选人后，按规定程序进行公示，公示期满且无异议后向中标单位发出中标通知书；</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（八）合同签订。由项目需求部门根据招、投标文件制定合同初稿，经项目需求部门分管院领导审阅后发单位法律顾问审核，将法律顾问审核后的合同走院合同审批和签订流程。</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第三十九条  </w:t>
      </w:r>
      <w:r>
        <w:rPr>
          <w:rFonts w:hint="eastAsia" w:ascii="仿宋" w:hAnsi="仿宋" w:eastAsia="仿宋" w:cs="仿宋"/>
          <w:color w:val="000000" w:themeColor="text1"/>
          <w:sz w:val="32"/>
          <w:szCs w:val="32"/>
        </w:rPr>
        <w:t>单位内采购项目的评审，应当在采购文件规定的时间、地点进行。</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（一）响应文件有下列情形之一的为无效响应，不得参与评标：</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1.未按采购文件规定密封的；</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2.未加盖法人或者单位公章的；</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3.未有法定代表人、单位负责人或者被授权人签名的；</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4.未按采购文件规定格式填写或者字迹模糊不清的；</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5.未在规定时间内提供有效响应文件的；</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6.未按要求提供保证金的；</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7.其它应视为无效响应的。</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二）在成交结果确定之前，内部会商小组的名单应当保密。内部会商小组成员应当遵守评审纪律，与投标人有利益关系的人员，不得进入相关项目的内部会商小组。不得以任何方式泄露评标情况。任何单位和个人不得非法干预、影响评标过程和结果。 </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（三）内部会商采购小组评审工作规则：</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1.按采购文件规定的评标程序、标准和方法对响应文件进行评审。</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2.对响应文件中含义不明确的内容，要求投标人作出书面澄清或者说明。澄清或者说明应当符合原响应文件的范围或者实质性内容。</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3.对内容存在下列重大偏差，实质上不能响应采购文件要求的响应文件，确定为无效：</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（1）未响应项目完成期限；</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（2）报价超过采购限价；</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（3）附有采购人无法接受的条件；</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（4）不符合技术规格、质量要求、货物包装方式、检验标准和方法；</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（5）不符合采购文件规定的其他实质性要求。</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4.对实质上符合采购文件要求，但在个别地方存在遗漏或者提供了不完整的技术信息和数据等细微偏差的响应文件，内部会商采购小组应当要求该投标人在评审结束前予以补正。</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内部会商采购小组认为投标人的报价明显低于其他通过符合性审查投标人的报价，有可能影响产品质量或者不能诚信履约的，应当要求其在合理的时间内提供书面说明，必要时提交相关证明材料;投标人不能证明其报价合理性的，内部会商采购小组应当将其作为无效投标处理。</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6.内部会商采购小组成员对需要共同认定的事项存在争议的，应当按照少数服从多数的原则，以评审现场有效成员总数达到 2/3 以上共同意见作出结论。持不同意见的内部会商采购小组成员应当在评审报告上签署不同意见及其理由，否则视为同意评审报告。</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第四十条  </w:t>
      </w:r>
      <w:r>
        <w:rPr>
          <w:rFonts w:hint="eastAsia" w:ascii="仿宋" w:hAnsi="仿宋" w:eastAsia="仿宋" w:cs="仿宋"/>
          <w:color w:val="000000" w:themeColor="text1"/>
          <w:sz w:val="32"/>
          <w:szCs w:val="32"/>
        </w:rPr>
        <w:t>工程项目采购应当提供编制工程量清单，工程量清单由采购人或具有相应资质的造价咨询单位编制，招标项目应设置招标控制价，报价应当提供充分依据。</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第四十一条  </w:t>
      </w:r>
      <w:r>
        <w:rPr>
          <w:rFonts w:hint="eastAsia" w:ascii="仿宋" w:hAnsi="仿宋" w:eastAsia="仿宋" w:cs="仿宋"/>
          <w:color w:val="000000" w:themeColor="text1"/>
          <w:sz w:val="32"/>
          <w:szCs w:val="32"/>
        </w:rPr>
        <w:t>全部使用国有资金或以国有资金投资为主的新建、改建、扩建的房屋建筑和市政基础设施工程，具体参照《湖南省房屋建筑和市政基础设施工程总承包招标投标活动管理暂行规定》。</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第四十二条  </w:t>
      </w:r>
      <w:r>
        <w:rPr>
          <w:rFonts w:hint="eastAsia" w:ascii="仿宋" w:hAnsi="仿宋" w:eastAsia="仿宋" w:cs="仿宋"/>
          <w:color w:val="000000" w:themeColor="text1"/>
          <w:sz w:val="32"/>
          <w:szCs w:val="32"/>
        </w:rPr>
        <w:t>专家论证规定：</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（一）重大、复杂、专业性强的项目，应当由采购办邀请具有资质的专家进行项目论证。论证专家本人或其所在单位应与论证事项无利害关系。</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论证专家需按照单位项目论证要求，对采购项目的科学性、可行性、必要性、采购预算金额等进行合理评估，对采购清单、技术指标（设计方案、品种数量、单价、售后服务、安装要求、施工技术图纸等）进行专业论证，根据论证结论提出采购方式建议。</w:t>
      </w:r>
    </w:p>
    <w:p>
      <w:pPr>
        <w:widowControl/>
        <w:spacing w:line="600" w:lineRule="exact"/>
        <w:ind w:right="-50" w:rightChars="-24"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（三）单一来源采购项目，采购办邀请不少于 3 名外部专家参与论证，达到政府采购限额以上的，应按照政府采购相关要求进行论证意见公示。</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第四十三条</w:t>
      </w:r>
      <w:r>
        <w:rPr>
          <w:rFonts w:hint="eastAsia" w:ascii="仿宋" w:hAnsi="仿宋" w:eastAsia="仿宋" w:cs="仿宋"/>
          <w:color w:val="000000" w:themeColor="text1"/>
          <w:sz w:val="32"/>
          <w:szCs w:val="32"/>
        </w:rPr>
        <w:t xml:space="preserve">  如遇质疑或投诉事项，参照《政府采购质疑答复和投诉处理操作规程》执行。</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第四十四条  </w:t>
      </w:r>
      <w:r>
        <w:rPr>
          <w:rFonts w:hint="eastAsia" w:ascii="仿宋" w:hAnsi="仿宋" w:eastAsia="仿宋" w:cs="仿宋"/>
          <w:color w:val="000000" w:themeColor="text1"/>
          <w:sz w:val="32"/>
          <w:szCs w:val="32"/>
        </w:rPr>
        <w:t>对应急抢修工程项目，项目需求部门及时报院采购办并取得分管院领导或院长的同意，视情况先施工抢修，并及时按规定补办相关手续。应急抢修工程项目是指供水、供电、通讯、网络等基础设施发生突发性事故，严重影响本院工作和职工生活，急需抢修的项目。其他因自然灾害、事故灾难、公共卫生事件和社会安全事件等突发事件所实施的紧急采购，应当完整保存采购有关文件和记录，在满足需求的前提下不得排除竞争。</w:t>
      </w:r>
    </w:p>
    <w:p>
      <w:pPr>
        <w:widowControl/>
        <w:tabs>
          <w:tab w:val="left" w:pos="4860"/>
          <w:tab w:val="left" w:pos="5760"/>
        </w:tabs>
        <w:adjustRightInd w:val="0"/>
        <w:snapToGrid w:val="0"/>
        <w:spacing w:beforeLines="50" w:afterLines="50" w:line="600" w:lineRule="exact"/>
        <w:ind w:right="-50" w:rightChars="-24"/>
        <w:jc w:val="center"/>
        <w:rPr>
          <w:rFonts w:ascii="黑体" w:hAnsi="仿宋" w:eastAsia="黑体" w:cs="仿宋"/>
          <w:bCs/>
          <w:color w:val="000000" w:themeColor="text1"/>
          <w:sz w:val="32"/>
          <w:szCs w:val="32"/>
        </w:rPr>
      </w:pPr>
    </w:p>
    <w:p>
      <w:pPr>
        <w:widowControl/>
        <w:tabs>
          <w:tab w:val="left" w:pos="4860"/>
          <w:tab w:val="left" w:pos="5760"/>
        </w:tabs>
        <w:adjustRightInd w:val="0"/>
        <w:snapToGrid w:val="0"/>
        <w:spacing w:beforeLines="50" w:afterLines="50" w:line="600" w:lineRule="exact"/>
        <w:ind w:right="-50" w:rightChars="-24"/>
        <w:jc w:val="center"/>
        <w:rPr>
          <w:rFonts w:ascii="仿宋" w:hAnsi="仿宋" w:eastAsia="仿宋" w:cs="仿宋"/>
          <w:b/>
          <w:bCs/>
          <w:color w:val="000000" w:themeColor="text1"/>
          <w:sz w:val="32"/>
          <w:szCs w:val="32"/>
        </w:rPr>
      </w:pPr>
      <w:r>
        <w:rPr>
          <w:rFonts w:hint="eastAsia" w:ascii="黑体" w:hAnsi="仿宋" w:eastAsia="黑体" w:cs="仿宋"/>
          <w:bCs/>
          <w:color w:val="000000" w:themeColor="text1"/>
          <w:sz w:val="32"/>
          <w:szCs w:val="32"/>
        </w:rPr>
        <w:t>第七章  合同签订、验收与资金结算</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第四十五条</w:t>
      </w:r>
      <w:r>
        <w:rPr>
          <w:rFonts w:hint="eastAsia" w:ascii="仿宋" w:hAnsi="仿宋" w:eastAsia="仿宋" w:cs="仿宋"/>
          <w:color w:val="000000" w:themeColor="text1"/>
          <w:sz w:val="32"/>
          <w:szCs w:val="32"/>
        </w:rPr>
        <w:t xml:space="preserve">  合同签订</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（一）在发出中标（成交）通知书 30 日内，根据《中华人民共和国民法典》《中华人民共和国政府采购法》及相关法律法规，由项目需求部门与中标（成交）供应商商定具体合同内容。合同标的、数量、质量、金额、服务承诺、履约方式等应当与采购文件和响应文件相一致。</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（二）订立合同前，项目需求部门根据相关文件及要求，拟定合同（协议）初稿，报采购办审核和法律顾问审查后，按有关规定审批后方可签订。</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w:t>
      </w:r>
      <w:r>
        <w:rPr>
          <w:rFonts w:ascii="仿宋" w:hAnsi="仿宋" w:eastAsia="仿宋" w:cs="仿宋"/>
          <w:color w:val="000000" w:themeColor="text1"/>
          <w:sz w:val="32"/>
          <w:szCs w:val="32"/>
        </w:rPr>
        <w:t>合同</w:t>
      </w:r>
      <w:r>
        <w:rPr>
          <w:rFonts w:hint="eastAsia" w:ascii="仿宋" w:hAnsi="仿宋" w:eastAsia="仿宋" w:cs="仿宋"/>
          <w:color w:val="000000" w:themeColor="text1"/>
          <w:sz w:val="32"/>
          <w:szCs w:val="32"/>
          <w:lang w:eastAsia="zh-CN"/>
        </w:rPr>
        <w:t>签订</w:t>
      </w:r>
      <w:r>
        <w:rPr>
          <w:rFonts w:ascii="仿宋" w:hAnsi="仿宋" w:eastAsia="仿宋" w:cs="仿宋"/>
          <w:color w:val="000000" w:themeColor="text1"/>
          <w:sz w:val="32"/>
          <w:szCs w:val="32"/>
        </w:rPr>
        <w:t>。合同内容经过审查批准后，由项目需求部门的主要负责人与供应商</w:t>
      </w:r>
      <w:r>
        <w:rPr>
          <w:rFonts w:hint="eastAsia" w:ascii="仿宋" w:hAnsi="仿宋" w:eastAsia="仿宋" w:cs="仿宋"/>
          <w:color w:val="000000" w:themeColor="text1"/>
          <w:sz w:val="32"/>
          <w:szCs w:val="32"/>
          <w:lang w:eastAsia="zh-CN"/>
        </w:rPr>
        <w:t>签订</w:t>
      </w:r>
      <w:r>
        <w:rPr>
          <w:rFonts w:ascii="仿宋" w:hAnsi="仿宋" w:eastAsia="仿宋" w:cs="仿宋"/>
          <w:color w:val="000000" w:themeColor="text1"/>
          <w:sz w:val="32"/>
          <w:szCs w:val="32"/>
        </w:rPr>
        <w:t>合同；如项目实施涉及两个以上部门的，由相关部门主要负责人共同</w:t>
      </w:r>
      <w:r>
        <w:rPr>
          <w:rFonts w:hint="eastAsia" w:ascii="仿宋" w:hAnsi="仿宋" w:eastAsia="仿宋" w:cs="仿宋"/>
          <w:color w:val="000000" w:themeColor="text1"/>
          <w:sz w:val="32"/>
          <w:szCs w:val="32"/>
          <w:lang w:eastAsia="zh-CN"/>
        </w:rPr>
        <w:t>签订</w:t>
      </w:r>
      <w:r>
        <w:rPr>
          <w:rFonts w:ascii="仿宋" w:hAnsi="仿宋" w:eastAsia="仿宋" w:cs="仿宋"/>
          <w:color w:val="000000" w:themeColor="text1"/>
          <w:sz w:val="32"/>
          <w:szCs w:val="32"/>
        </w:rPr>
        <w:t>。合同</w:t>
      </w:r>
      <w:r>
        <w:rPr>
          <w:rFonts w:hint="eastAsia" w:ascii="仿宋" w:hAnsi="仿宋" w:eastAsia="仿宋" w:cs="仿宋"/>
          <w:color w:val="000000" w:themeColor="text1"/>
          <w:sz w:val="32"/>
          <w:szCs w:val="32"/>
          <w:lang w:eastAsia="zh-CN"/>
        </w:rPr>
        <w:t>签订</w:t>
      </w:r>
      <w:r>
        <w:rPr>
          <w:rFonts w:ascii="仿宋" w:hAnsi="仿宋" w:eastAsia="仿宋" w:cs="仿宋"/>
          <w:color w:val="000000" w:themeColor="text1"/>
          <w:sz w:val="32"/>
          <w:szCs w:val="32"/>
        </w:rPr>
        <w:t>时应当注明</w:t>
      </w:r>
      <w:r>
        <w:rPr>
          <w:rFonts w:hint="eastAsia" w:ascii="仿宋" w:hAnsi="仿宋" w:eastAsia="仿宋" w:cs="仿宋"/>
          <w:color w:val="000000" w:themeColor="text1"/>
          <w:sz w:val="32"/>
          <w:szCs w:val="32"/>
          <w:lang w:eastAsia="zh-CN"/>
        </w:rPr>
        <w:t>签订</w:t>
      </w:r>
      <w:r>
        <w:rPr>
          <w:rFonts w:ascii="仿宋" w:hAnsi="仿宋" w:eastAsia="仿宋" w:cs="仿宋"/>
          <w:color w:val="000000" w:themeColor="text1"/>
          <w:sz w:val="32"/>
          <w:szCs w:val="32"/>
        </w:rPr>
        <w:t>时间，确保合同内容的完整性。合同</w:t>
      </w:r>
      <w:r>
        <w:rPr>
          <w:rFonts w:hint="eastAsia" w:ascii="仿宋" w:hAnsi="仿宋" w:eastAsia="仿宋" w:cs="仿宋"/>
          <w:color w:val="000000" w:themeColor="text1"/>
          <w:sz w:val="32"/>
          <w:szCs w:val="32"/>
          <w:lang w:eastAsia="zh-CN"/>
        </w:rPr>
        <w:t>签订</w:t>
      </w:r>
      <w:r>
        <w:rPr>
          <w:rFonts w:ascii="仿宋" w:hAnsi="仿宋" w:eastAsia="仿宋" w:cs="仿宋"/>
          <w:color w:val="000000" w:themeColor="text1"/>
          <w:sz w:val="32"/>
          <w:szCs w:val="32"/>
        </w:rPr>
        <w:t>后，应当将合同文本及其相关附件一式两份交院办公室存档。</w:t>
      </w:r>
    </w:p>
    <w:p>
      <w:pPr>
        <w:widowControl/>
        <w:spacing w:line="600" w:lineRule="exact"/>
        <w:ind w:right="-50" w:rightChars="-24"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（四）</w:t>
      </w:r>
      <w:r>
        <w:rPr>
          <w:rFonts w:hint="eastAsia" w:ascii="仿宋" w:hAnsi="仿宋" w:eastAsia="仿宋" w:cs="仿宋"/>
          <w:color w:val="000000" w:themeColor="text1"/>
          <w:sz w:val="32"/>
          <w:szCs w:val="32"/>
        </w:rPr>
        <w:t>采购合同一经签订不得随意变更。在合同执行过程中，项目需求部门需追加与合同标的相同的货物、工程和服务的，在不改变合同条款的前提下，双方可以签订补充合同，但补充合同的采购金额不得超过原采购金额的10%。</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五</w:t>
      </w:r>
      <w:r>
        <w:rPr>
          <w:rFonts w:hint="eastAsia" w:ascii="仿宋" w:hAnsi="仿宋" w:eastAsia="仿宋" w:cs="仿宋"/>
          <w:color w:val="000000" w:themeColor="text1"/>
          <w:sz w:val="32"/>
          <w:szCs w:val="32"/>
        </w:rPr>
        <w:t>）合同执行过程中，经批准需要增加合同规定以外的内容，增加部分应当重新组织采购。</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六</w:t>
      </w:r>
      <w:r>
        <w:rPr>
          <w:rFonts w:hint="eastAsia" w:ascii="仿宋" w:hAnsi="仿宋" w:eastAsia="仿宋" w:cs="仿宋"/>
          <w:color w:val="000000" w:themeColor="text1"/>
          <w:sz w:val="32"/>
          <w:szCs w:val="32"/>
        </w:rPr>
        <w:t>）限额以上的政府采购项目的采购合同自签订之日起7个工作日内，采购办应当将合同副本报省财政厅和有关部门备案。</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第四十六条  </w:t>
      </w:r>
      <w:r>
        <w:rPr>
          <w:rFonts w:hint="eastAsia" w:ascii="仿宋" w:hAnsi="仿宋" w:eastAsia="仿宋" w:cs="仿宋"/>
          <w:bCs/>
          <w:color w:val="000000" w:themeColor="text1"/>
          <w:sz w:val="32"/>
          <w:szCs w:val="32"/>
        </w:rPr>
        <w:t>采购人</w:t>
      </w:r>
      <w:r>
        <w:rPr>
          <w:rFonts w:hint="eastAsia" w:ascii="仿宋" w:hAnsi="仿宋" w:eastAsia="仿宋" w:cs="仿宋"/>
          <w:color w:val="000000" w:themeColor="text1"/>
          <w:sz w:val="32"/>
          <w:szCs w:val="32"/>
        </w:rPr>
        <w:t>和中标人订立书面合同的标的、数量、质量、金额、服务承诺、履约方式等主要条款应当与采购文件和中标人的投标文件的内容一致，不得擅自变更或再行订立与采购需求实质性内容相违背的其他协议。确需变更合同的，按以下程序办理变更手续：</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（一）项目需求部门提出申请，说明理由，提出变更方案报本部门负责人同意，经采购办会签后报采购领导小组相关领导签署意见；</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（二）采购办根据需要组织专家论证，签署意见后报采购领导小组相关领导审签；</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（三）合同变更情况复杂的，须报党组会研究审定；</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（四）签订合同变更协议。</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第四十七条  </w:t>
      </w:r>
      <w:r>
        <w:rPr>
          <w:rFonts w:hint="eastAsia" w:ascii="仿宋" w:hAnsi="仿宋" w:eastAsia="仿宋" w:cs="仿宋"/>
          <w:color w:val="000000" w:themeColor="text1"/>
          <w:sz w:val="32"/>
          <w:szCs w:val="32"/>
        </w:rPr>
        <w:t>所有纳入采购管理范围的货物、工程、服务类采购项目，均应履行验收程序。</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项目完成后，项目供应商应及时提出书面验收申请报告，项目需求部门根据验收申请报告进行项目预验收。预验收通过后进行正式验收。正式验收应当成立由项目需求部门为主体，采购办成员参与的验收小组，验收人员按</w:t>
      </w:r>
      <w:bookmarkStart w:id="2" w:name="_GoBack"/>
      <w:bookmarkEnd w:id="2"/>
      <w:r>
        <w:rPr>
          <w:rFonts w:hint="eastAsia" w:ascii="仿宋" w:hAnsi="仿宋" w:eastAsia="仿宋" w:cs="仿宋"/>
          <w:color w:val="000000" w:themeColor="text1"/>
          <w:sz w:val="32"/>
          <w:szCs w:val="32"/>
        </w:rPr>
        <w:t>部门职责和本制度规定的职责参与验收（职责交叉或不清的由采购办协调明确），监督组负责验收监督，其中，单个项目金额在3万元以上（含）或批量采购项目金额在2万元以上（含）的，监督组必须对项目验收过程进行监督。直接参与项目采购方案制定、评标的人员不得作为验收组负责人。对大型或者复杂的政府采购项目，应邀请专业技术人员或质量检测机构参加验收。</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验收小组对项目供应商提供的货物、工程或服务按照合同协议、中标通知书、投标书及附件、合同专用条款、合同通用条款、标准、规范及有关技术文件、图纸、工程量清单、工程报价单或预算书等进行核对、验查，并在验收报告上签署验收意见。未能通过验收的，按合同约定及相关规定处理。验收合格的，应当及时将验收结果报告院采购领导小组。</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第四十八条  </w:t>
      </w:r>
      <w:r>
        <w:rPr>
          <w:rFonts w:hint="eastAsia" w:ascii="仿宋" w:hAnsi="仿宋" w:eastAsia="仿宋" w:cs="仿宋"/>
          <w:color w:val="000000" w:themeColor="text1"/>
          <w:sz w:val="32"/>
          <w:szCs w:val="32"/>
        </w:rPr>
        <w:t>项目需求部门收货时如发现工程、货物和服务等与合同约定不符或存在质量等问题，由项目需求部门查明原因，收货当天出具不合格报告及初步整改意见，交采购办联系办理退、换、赔等有关手续。</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第四十九条  </w:t>
      </w:r>
      <w:r>
        <w:rPr>
          <w:rFonts w:hint="eastAsia" w:ascii="仿宋" w:hAnsi="仿宋" w:eastAsia="仿宋" w:cs="仿宋"/>
          <w:color w:val="000000" w:themeColor="text1"/>
          <w:sz w:val="32"/>
          <w:szCs w:val="32"/>
        </w:rPr>
        <w:t>项目验收合格，财务部门根据验收报告、合同、发票、固定资产登记手续等原始凭据付款；对于工程项目需要送审计部门审计的，由审计部门出具审计报告后，财务部门根据审计结论付款。</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财务部门或者采购代理机构应当自中标通知书发出之日起5个工作日内退还未中标供应商的投标保证金，自政府采购合同签订之日起5个工作日内退还中标供应商的投标保证金。</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采购金额较大的项目，按照党组决定和上级有关规定，在项目验收完成后，应当请第三方公司进行审计并出具审计报告。</w:t>
      </w:r>
    </w:p>
    <w:p>
      <w:pPr>
        <w:widowControl/>
        <w:tabs>
          <w:tab w:val="left" w:pos="4860"/>
          <w:tab w:val="left" w:pos="5760"/>
        </w:tabs>
        <w:adjustRightInd w:val="0"/>
        <w:snapToGrid w:val="0"/>
        <w:spacing w:beforeLines="50" w:afterLines="50" w:line="600" w:lineRule="exact"/>
        <w:ind w:right="-50" w:rightChars="-24"/>
        <w:jc w:val="center"/>
        <w:rPr>
          <w:rFonts w:ascii="黑体" w:hAnsi="仿宋" w:eastAsia="黑体" w:cs="仿宋"/>
          <w:bCs/>
          <w:color w:val="000000" w:themeColor="text1"/>
          <w:sz w:val="32"/>
          <w:szCs w:val="32"/>
        </w:rPr>
      </w:pPr>
      <w:r>
        <w:rPr>
          <w:rFonts w:hint="eastAsia" w:ascii="黑体" w:hAnsi="仿宋" w:eastAsia="黑体" w:cs="仿宋"/>
          <w:bCs/>
          <w:color w:val="000000" w:themeColor="text1"/>
          <w:sz w:val="32"/>
          <w:szCs w:val="32"/>
        </w:rPr>
        <w:t>第八章  信息公开、信息统计、档案管理</w:t>
      </w:r>
    </w:p>
    <w:p>
      <w:pPr>
        <w:widowControl/>
        <w:snapToGrid w:val="0"/>
        <w:spacing w:line="600" w:lineRule="exact"/>
        <w:ind w:right="-50" w:rightChars="-24" w:firstLine="642"/>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第五十条  </w:t>
      </w:r>
      <w:r>
        <w:rPr>
          <w:rFonts w:hint="eastAsia" w:ascii="仿宋" w:hAnsi="仿宋" w:eastAsia="仿宋" w:cs="仿宋"/>
          <w:color w:val="000000" w:themeColor="text1"/>
          <w:sz w:val="32"/>
          <w:szCs w:val="32"/>
        </w:rPr>
        <w:t>单位应按照要求，在湖南省政府采购网上发布政府采购公告，接受社会监督。公告事项包括：采购意向公开，采购公告，单一来源采购审核前公示，中标或成交结果公告，采购合同公告，项目终止公告、验收公告等。</w:t>
      </w:r>
    </w:p>
    <w:p>
      <w:pPr>
        <w:widowControl/>
        <w:snapToGrid w:val="0"/>
        <w:spacing w:line="600" w:lineRule="exact"/>
        <w:ind w:right="-50" w:rightChars="-24" w:firstLine="642"/>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第五十一条</w:t>
      </w:r>
      <w:r>
        <w:rPr>
          <w:rFonts w:hint="eastAsia" w:ascii="仿宋" w:hAnsi="仿宋" w:eastAsia="仿宋" w:cs="仿宋"/>
          <w:color w:val="000000" w:themeColor="text1"/>
          <w:sz w:val="32"/>
          <w:szCs w:val="32"/>
        </w:rPr>
        <w:t xml:space="preserve">  本院按照规定实行招投标的工程项目，除执行招投标管理规定外，还应按照政府采购管理要求，在省财政厅采购系统录入项目计划，将相关招标信息公告链接到湖南省政府采购网予以公开。</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第五十二条  </w:t>
      </w:r>
      <w:r>
        <w:rPr>
          <w:rFonts w:hint="eastAsia" w:ascii="仿宋" w:hAnsi="仿宋" w:eastAsia="仿宋" w:cs="仿宋"/>
          <w:color w:val="000000" w:themeColor="text1"/>
          <w:sz w:val="32"/>
          <w:szCs w:val="32"/>
        </w:rPr>
        <w:t>采购办应在每季度结束后 15日内、每年度结束后 30 日内，按采购信息统计工作的要求整理报送采购统计报表。</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第五十三条</w:t>
      </w:r>
      <w:r>
        <w:rPr>
          <w:rFonts w:hint="eastAsia" w:ascii="仿宋" w:hAnsi="仿宋" w:eastAsia="仿宋" w:cs="仿宋"/>
          <w:color w:val="000000" w:themeColor="text1"/>
          <w:sz w:val="32"/>
          <w:szCs w:val="32"/>
        </w:rPr>
        <w:t xml:space="preserve">  项目需求部门及院采购办应妥善保管每项采购活动的过程文件及资料，不得伪造、变造、隐匿或者销毁。采购项目完成后，采购决策意见、招标文件、投标文件、评审资料、采购合同、验收文档等采购资料档案(包括音视频资料)由采购办整理登记归档，采购领导小组依据工作职责按工作计划进行抽查。档案保存期限为从采购工作结束之日起不少于十五年。</w:t>
      </w:r>
    </w:p>
    <w:p>
      <w:pPr>
        <w:widowControl/>
        <w:tabs>
          <w:tab w:val="left" w:pos="4860"/>
          <w:tab w:val="left" w:pos="5760"/>
        </w:tabs>
        <w:adjustRightInd w:val="0"/>
        <w:snapToGrid w:val="0"/>
        <w:spacing w:beforeLines="50" w:afterLines="50" w:line="600" w:lineRule="exact"/>
        <w:ind w:right="-50" w:rightChars="-24"/>
        <w:jc w:val="center"/>
        <w:rPr>
          <w:rFonts w:ascii="黑体" w:hAnsi="仿宋" w:eastAsia="黑体" w:cs="仿宋"/>
          <w:bCs/>
          <w:color w:val="000000" w:themeColor="text1"/>
          <w:sz w:val="32"/>
          <w:szCs w:val="32"/>
        </w:rPr>
      </w:pPr>
      <w:r>
        <w:rPr>
          <w:rFonts w:hint="eastAsia" w:ascii="黑体" w:hAnsi="仿宋" w:eastAsia="黑体" w:cs="仿宋"/>
          <w:bCs/>
          <w:color w:val="000000" w:themeColor="text1"/>
          <w:sz w:val="32"/>
          <w:szCs w:val="32"/>
        </w:rPr>
        <w:t>第九章  绩效管理和监督管理</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第五十四条  </w:t>
      </w:r>
      <w:r>
        <w:rPr>
          <w:rFonts w:hint="eastAsia" w:ascii="仿宋" w:hAnsi="仿宋" w:eastAsia="仿宋" w:cs="仿宋"/>
          <w:color w:val="000000" w:themeColor="text1"/>
          <w:sz w:val="32"/>
          <w:szCs w:val="32"/>
        </w:rPr>
        <w:t>绩效管理。单位应建立全过程采购绩效管理链条，建立事前绩效评估机制，加强绩效目标管理，开展绩效运行监控，全面实施绩效评价。</w:t>
      </w:r>
    </w:p>
    <w:p>
      <w:pPr>
        <w:widowControl/>
        <w:snapToGrid w:val="0"/>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第五十五条  </w:t>
      </w:r>
      <w:r>
        <w:rPr>
          <w:rFonts w:hint="eastAsia" w:ascii="仿宋" w:hAnsi="仿宋" w:eastAsia="仿宋" w:cs="仿宋"/>
          <w:color w:val="000000" w:themeColor="text1"/>
          <w:sz w:val="32"/>
          <w:szCs w:val="32"/>
        </w:rPr>
        <w:t>绩效目标。单位应按照《湖南省预算绩效目标管理办法》，将绩效目标与预算编制一同布置、一同编制、一同审核、一同批复、一同公开。</w:t>
      </w:r>
    </w:p>
    <w:p>
      <w:pPr>
        <w:widowControl/>
        <w:snapToGrid w:val="0"/>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第五十六条  </w:t>
      </w:r>
      <w:r>
        <w:rPr>
          <w:rFonts w:hint="eastAsia" w:ascii="仿宋" w:hAnsi="仿宋" w:eastAsia="仿宋" w:cs="仿宋"/>
          <w:color w:val="000000" w:themeColor="text1"/>
          <w:sz w:val="32"/>
          <w:szCs w:val="32"/>
        </w:rPr>
        <w:t>绩效评价。单位按照《湖南省预算支出绩效评价管理办法》（湘财绩〔2020〕7号），遵循“科学公正、统筹兼顾、激励约束、公开透明”的原则，全面实施绩效评价，强化绩效评价结果应用。</w:t>
      </w:r>
    </w:p>
    <w:p>
      <w:pPr>
        <w:widowControl/>
        <w:snapToGrid w:val="0"/>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第五十七条</w:t>
      </w:r>
      <w:r>
        <w:rPr>
          <w:rFonts w:hint="eastAsia" w:ascii="仿宋" w:hAnsi="仿宋" w:eastAsia="仿宋" w:cs="仿宋"/>
          <w:color w:val="000000" w:themeColor="text1"/>
          <w:sz w:val="32"/>
          <w:szCs w:val="32"/>
        </w:rPr>
        <w:t xml:space="preserve">  自觉接受纪检监察组对本院政府采购制度的监督与评价。对于督查与评价中发现的问题，本院应积极整改，不断优化政府采购内部控制制度。</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第五十八条  </w:t>
      </w:r>
      <w:r>
        <w:rPr>
          <w:rFonts w:hint="eastAsia" w:ascii="仿宋" w:hAnsi="仿宋" w:eastAsia="仿宋" w:cs="仿宋"/>
          <w:color w:val="000000" w:themeColor="text1"/>
          <w:sz w:val="32"/>
          <w:szCs w:val="32"/>
        </w:rPr>
        <w:t>所有参与采购工作的相关人员，均应遵守国家相关法律、法规、规章，按规定的权限、程序开展工作，坚持原则，廉洁自律，保守秘密，主动接受监督。</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在采购中存在贪污受贿、弄虚作假、徇私舞弊、玩忽职守和侵害单位利益等行为的人员，按照有关法律法规给予党纪政务处分；对违法违纪情节严重构成犯罪的，移送司法机关依法追究刑事责任。</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所称相关人员，包括但不限于采购组成员，竞争性谈判采购中谈判小组的组成人员，竞争性磋商采购中谈判小组的组成人员，询价采购中询价小组的组成人员等。</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第五十九条  </w:t>
      </w:r>
      <w:r>
        <w:rPr>
          <w:rFonts w:hint="eastAsia" w:ascii="仿宋" w:hAnsi="仿宋" w:eastAsia="仿宋" w:cs="仿宋"/>
          <w:color w:val="000000" w:themeColor="text1"/>
          <w:sz w:val="32"/>
          <w:szCs w:val="32"/>
        </w:rPr>
        <w:t>采购活动接受审计财政及纪检监察部门的监督检查。</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第六十条  </w:t>
      </w:r>
      <w:r>
        <w:rPr>
          <w:rFonts w:hint="eastAsia" w:ascii="仿宋" w:hAnsi="仿宋" w:eastAsia="仿宋" w:cs="仿宋"/>
          <w:color w:val="000000" w:themeColor="text1"/>
          <w:sz w:val="32"/>
          <w:szCs w:val="32"/>
        </w:rPr>
        <w:t>采购单位工作人员在政府采购过程中有下列情形之一的，应当问责。</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（一）属于政府采购范围的项目，不依法实行政府采购的；</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（二）属于集中采购目录的项目，不委托集中采购代理机构办理的；</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（三）属于公开招标或废标的项目，未经省财政厅批准而擅自改变采购方式的；</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（四）在公开招标、竞争性谈判、竞争性磋商、询价方式采购中，不按规定程序开展采购活动，指定或变相指定供应商，非法干预、影响评审活动，以及改变评审结果的；</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（五）无正当理由不在规定期限内确认招标、竞争性谈判、询价结果并与成交供应商签订政府采购合同的；</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（六）无正当理由不履行政府采购合同的；</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（七）不按规定进行采购档案管理的。</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第六十一条</w:t>
      </w:r>
      <w:r>
        <w:rPr>
          <w:rFonts w:hint="eastAsia" w:ascii="仿宋" w:hAnsi="仿宋" w:eastAsia="仿宋" w:cs="仿宋"/>
          <w:color w:val="000000" w:themeColor="text1"/>
          <w:sz w:val="32"/>
          <w:szCs w:val="32"/>
        </w:rPr>
        <w:t xml:space="preserve">  在采购活动中发现供应商（包括但不限于投标人、代理机构）存在下列行为，经查实后应列入不良行为记录名单，在三年内本院不得采购被列入不良行为记录名单的供应商及相关人员为单位提供货物、服务或工程。对列入失信被执行人、重大税收违法案件当事人名单、政府采购严重违法失信行为记录名单的供应商，本院应当拒绝其参与采购活动。</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（一）具有商业贿赂等影响本院相关工作人员公正执行公务的行为；</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（二）在招投标过程中相互串通投标、非法以他人名义投标和以其他方式弄虚作假骗取中标的行为；</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（三）严重违反投标承诺或合同约定，提高价格、降低质量、拖延工期或供货时间的不诚信行为；</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（四）出现严重的工程、设备质量问题或给采购人造成经济损失、安全事故以及不良社会影响的；</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（五）不遵守招投标法律法规，在招标采购过程中有恶意诽谤、诬告或陷害其他竞争对手的不良行为；</w:t>
      </w:r>
    </w:p>
    <w:p>
      <w:pPr>
        <w:widowControl/>
        <w:spacing w:line="600" w:lineRule="exact"/>
        <w:ind w:right="-50" w:rightChars="-24" w:firstLine="800" w:firstLineChars="25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(六)招标代理机构违反规定，泄露与招标投标活动有关的应当保密的情况和资料的，或者与招标人、投标人串通损害国家利益、社会公共利益或者他人合法权益的；</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（七）有其他违反国家法律法规或采购文件相关规定的行为的。</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第六十二条  </w:t>
      </w:r>
      <w:r>
        <w:rPr>
          <w:rFonts w:hint="eastAsia" w:ascii="仿宋" w:hAnsi="仿宋" w:eastAsia="仿宋" w:cs="仿宋"/>
          <w:color w:val="000000" w:themeColor="text1"/>
          <w:sz w:val="32"/>
          <w:szCs w:val="32"/>
        </w:rPr>
        <w:t>参与采购的人员有下列行为之一的，采购活动无效，并追究有关责任人的责任，依照相关规定进行处罚：</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（一）弄虚作假、暗箱操作的；</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（二）泄露标底或者评标秘密的；</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（三）假公济私、索贿受贿的。</w:t>
      </w:r>
    </w:p>
    <w:p>
      <w:pPr>
        <w:widowControl/>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第六十三条  </w:t>
      </w:r>
      <w:r>
        <w:rPr>
          <w:rFonts w:hint="eastAsia" w:ascii="仿宋" w:hAnsi="仿宋" w:eastAsia="仿宋" w:cs="仿宋"/>
          <w:color w:val="000000" w:themeColor="text1"/>
          <w:sz w:val="32"/>
          <w:szCs w:val="32"/>
        </w:rPr>
        <w:t>采购业务实行回避制度。凡参与采购业务的人员与供应商有利害关系的，均应回避，不得参加该项采购业务。</w:t>
      </w:r>
    </w:p>
    <w:p>
      <w:pPr>
        <w:widowControl/>
        <w:tabs>
          <w:tab w:val="left" w:pos="4860"/>
          <w:tab w:val="left" w:pos="5760"/>
        </w:tabs>
        <w:adjustRightInd w:val="0"/>
        <w:snapToGrid w:val="0"/>
        <w:spacing w:beforeLines="50" w:afterLines="50" w:line="600" w:lineRule="exact"/>
        <w:ind w:right="-50" w:rightChars="-24"/>
        <w:jc w:val="center"/>
        <w:rPr>
          <w:rFonts w:ascii="黑体" w:hAnsi="仿宋" w:eastAsia="黑体" w:cs="仿宋"/>
          <w:bCs/>
          <w:color w:val="000000" w:themeColor="text1"/>
          <w:sz w:val="32"/>
          <w:szCs w:val="32"/>
        </w:rPr>
      </w:pPr>
      <w:r>
        <w:rPr>
          <w:rFonts w:hint="eastAsia" w:ascii="黑体" w:hAnsi="仿宋" w:eastAsia="黑体" w:cs="仿宋"/>
          <w:bCs/>
          <w:color w:val="000000" w:themeColor="text1"/>
          <w:sz w:val="32"/>
          <w:szCs w:val="32"/>
        </w:rPr>
        <w:t>第十一章  附则</w:t>
      </w:r>
    </w:p>
    <w:p>
      <w:pPr>
        <w:widowControl/>
        <w:tabs>
          <w:tab w:val="left" w:pos="2224"/>
          <w:tab w:val="left" w:pos="5760"/>
        </w:tabs>
        <w:adjustRightInd w:val="0"/>
        <w:snapToGrid w:val="0"/>
        <w:spacing w:line="600" w:lineRule="exact"/>
        <w:ind w:right="-50" w:rightChars="-24" w:firstLine="640"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第六十四条  </w:t>
      </w:r>
      <w:r>
        <w:rPr>
          <w:rFonts w:hint="eastAsia" w:ascii="仿宋" w:hAnsi="仿宋" w:eastAsia="仿宋" w:cs="仿宋"/>
          <w:color w:val="000000" w:themeColor="text1"/>
          <w:sz w:val="32"/>
          <w:szCs w:val="32"/>
        </w:rPr>
        <w:t>本</w:t>
      </w:r>
      <w:r>
        <w:rPr>
          <w:rFonts w:ascii="仿宋" w:hAnsi="仿宋" w:eastAsia="仿宋" w:cs="仿宋"/>
          <w:color w:val="000000" w:themeColor="text1"/>
          <w:sz w:val="32"/>
          <w:szCs w:val="32"/>
        </w:rPr>
        <w:t>制度</w:t>
      </w:r>
      <w:r>
        <w:rPr>
          <w:rFonts w:hint="eastAsia" w:ascii="仿宋" w:hAnsi="仿宋" w:eastAsia="仿宋" w:cs="仿宋"/>
          <w:color w:val="000000" w:themeColor="text1"/>
          <w:sz w:val="32"/>
          <w:szCs w:val="32"/>
        </w:rPr>
        <w:t>自公布之日起执行。本制度在执行中若遇政府采购法律法规和制度规定发生变化的，以上级的新规定为准。</w:t>
      </w:r>
    </w:p>
    <w:p>
      <w:pPr>
        <w:widowControl/>
        <w:spacing w:line="600" w:lineRule="exact"/>
        <w:ind w:right="-50" w:rightChars="-24" w:firstLine="627" w:firstLineChars="196"/>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第六十五条</w:t>
      </w:r>
      <w:r>
        <w:rPr>
          <w:rFonts w:hint="eastAsia" w:ascii="仿宋" w:hAnsi="仿宋" w:eastAsia="仿宋" w:cs="仿宋"/>
          <w:color w:val="000000" w:themeColor="text1"/>
          <w:sz w:val="32"/>
          <w:szCs w:val="32"/>
        </w:rPr>
        <w:t xml:space="preserve">  本</w:t>
      </w:r>
      <w:r>
        <w:rPr>
          <w:rFonts w:ascii="仿宋" w:hAnsi="仿宋" w:eastAsia="仿宋" w:cs="仿宋"/>
          <w:color w:val="000000" w:themeColor="text1"/>
          <w:sz w:val="32"/>
          <w:szCs w:val="32"/>
        </w:rPr>
        <w:t>制度</w:t>
      </w:r>
      <w:r>
        <w:rPr>
          <w:rFonts w:hint="eastAsia" w:ascii="仿宋" w:hAnsi="仿宋" w:eastAsia="仿宋" w:cs="仿宋"/>
          <w:color w:val="000000" w:themeColor="text1"/>
          <w:sz w:val="32"/>
          <w:szCs w:val="32"/>
        </w:rPr>
        <w:t>由湖南省地方志编纂院办公室负责解释。</w:t>
      </w:r>
    </w:p>
    <w:p>
      <w:pPr>
        <w:widowControl/>
        <w:spacing w:line="600" w:lineRule="exact"/>
        <w:rPr>
          <w:rFonts w:ascii="仿宋" w:hAnsi="仿宋" w:eastAsia="仿宋" w:cs="仿宋"/>
          <w:color w:val="000000" w:themeColor="text1"/>
          <w:sz w:val="32"/>
          <w:szCs w:val="32"/>
        </w:rPr>
      </w:pPr>
    </w:p>
    <w:p>
      <w:pPr>
        <w:spacing w:line="360" w:lineRule="auto"/>
        <w:jc w:val="center"/>
        <w:rPr>
          <w:rFonts w:ascii="方正小标宋_GBK" w:hAnsi="方正小标宋_GBK" w:eastAsia="方正小标宋_GBK" w:cs="方正小标宋_GBK"/>
          <w:color w:val="000000" w:themeColor="text1"/>
          <w:sz w:val="44"/>
          <w:szCs w:val="44"/>
        </w:rPr>
      </w:pPr>
      <w:r>
        <w:rPr>
          <w:rFonts w:hint="eastAsia" w:ascii="仿宋" w:hAnsi="仿宋" w:eastAsia="仿宋" w:cs="仿宋"/>
          <w:b/>
          <w:color w:val="000000" w:themeColor="text1"/>
          <w:sz w:val="32"/>
          <w:szCs w:val="32"/>
        </w:rPr>
        <w:br w:type="page"/>
      </w:r>
      <w:r>
        <w:rPr>
          <w:rFonts w:hint="eastAsia" w:ascii="方正小标宋_GBK" w:hAnsi="方正小标宋_GBK" w:eastAsia="方正小标宋_GBK" w:cs="方正小标宋_GBK"/>
          <w:color w:val="000000" w:themeColor="text1"/>
          <w:sz w:val="44"/>
          <w:szCs w:val="44"/>
        </w:rPr>
        <w:t>湖南省地方志编纂院政府采购申请表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126"/>
        <w:gridCol w:w="142"/>
        <w:gridCol w:w="1843"/>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951" w:type="dxa"/>
            <w:vAlign w:val="center"/>
          </w:tcPr>
          <w:p>
            <w:pPr>
              <w:jc w:val="center"/>
              <w:rPr>
                <w:color w:val="000000" w:themeColor="text1"/>
                <w:sz w:val="24"/>
              </w:rPr>
            </w:pPr>
            <w:r>
              <w:rPr>
                <w:rFonts w:hint="eastAsia"/>
                <w:color w:val="000000" w:themeColor="text1"/>
                <w:sz w:val="24"/>
              </w:rPr>
              <w:t>申请部门</w:t>
            </w:r>
          </w:p>
        </w:tc>
        <w:tc>
          <w:tcPr>
            <w:tcW w:w="2126" w:type="dxa"/>
            <w:vAlign w:val="center"/>
          </w:tcPr>
          <w:p>
            <w:pPr>
              <w:jc w:val="center"/>
              <w:rPr>
                <w:color w:val="000000" w:themeColor="text1"/>
                <w:sz w:val="24"/>
              </w:rPr>
            </w:pPr>
          </w:p>
        </w:tc>
        <w:tc>
          <w:tcPr>
            <w:tcW w:w="1985" w:type="dxa"/>
            <w:gridSpan w:val="2"/>
            <w:vAlign w:val="center"/>
          </w:tcPr>
          <w:p>
            <w:pPr>
              <w:ind w:firstLine="360" w:firstLineChars="150"/>
              <w:rPr>
                <w:color w:val="000000" w:themeColor="text1"/>
                <w:sz w:val="24"/>
              </w:rPr>
            </w:pPr>
            <w:r>
              <w:rPr>
                <w:rFonts w:hint="eastAsia"/>
                <w:color w:val="000000" w:themeColor="text1"/>
                <w:sz w:val="24"/>
              </w:rPr>
              <w:t>申请时间</w:t>
            </w:r>
          </w:p>
        </w:tc>
        <w:tc>
          <w:tcPr>
            <w:tcW w:w="2460" w:type="dxa"/>
            <w:vAlign w:val="center"/>
          </w:tcPr>
          <w:p>
            <w:pPr>
              <w:jc w:val="center"/>
              <w:rPr>
                <w:color w:val="000000" w:themeColor="text1"/>
                <w:sz w:val="24"/>
              </w:rPr>
            </w:pPr>
            <w:r>
              <w:rPr>
                <w:rFonts w:hint="eastAsia"/>
                <w:color w:val="000000" w:themeColor="text1"/>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1951" w:type="dxa"/>
            <w:vAlign w:val="center"/>
          </w:tcPr>
          <w:p>
            <w:pPr>
              <w:jc w:val="center"/>
              <w:rPr>
                <w:color w:val="000000" w:themeColor="text1"/>
                <w:sz w:val="24"/>
              </w:rPr>
            </w:pPr>
            <w:r>
              <w:rPr>
                <w:rFonts w:hint="eastAsia"/>
                <w:color w:val="000000" w:themeColor="text1"/>
                <w:sz w:val="24"/>
              </w:rPr>
              <w:t>申请理由</w:t>
            </w:r>
          </w:p>
        </w:tc>
        <w:tc>
          <w:tcPr>
            <w:tcW w:w="6571" w:type="dxa"/>
            <w:gridSpan w:val="4"/>
            <w:vAlign w:val="center"/>
          </w:tcPr>
          <w:p>
            <w:pPr>
              <w:jc w:val="center"/>
              <w:rPr>
                <w:color w:val="000000" w:themeColor="text1"/>
                <w:sz w:val="24"/>
              </w:rPr>
            </w:pPr>
          </w:p>
          <w:p>
            <w:pPr>
              <w:jc w:val="cente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951" w:type="dxa"/>
            <w:vAlign w:val="center"/>
          </w:tcPr>
          <w:p>
            <w:pPr>
              <w:jc w:val="center"/>
              <w:rPr>
                <w:color w:val="000000" w:themeColor="text1"/>
                <w:sz w:val="24"/>
              </w:rPr>
            </w:pPr>
            <w:r>
              <w:rPr>
                <w:rFonts w:hint="eastAsia"/>
                <w:color w:val="000000" w:themeColor="text1"/>
                <w:spacing w:val="0"/>
                <w:kern w:val="0"/>
                <w:sz w:val="24"/>
                <w:fitText w:val="1440" w:id="-1170051840"/>
              </w:rPr>
              <w:t>资金使用来源</w:t>
            </w:r>
          </w:p>
        </w:tc>
        <w:tc>
          <w:tcPr>
            <w:tcW w:w="6571" w:type="dxa"/>
            <w:gridSpan w:val="4"/>
            <w:vAlign w:val="center"/>
          </w:tcPr>
          <w:p>
            <w:pPr>
              <w:jc w:val="cente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522" w:type="dxa"/>
            <w:gridSpan w:val="5"/>
            <w:vAlign w:val="center"/>
          </w:tcPr>
          <w:p>
            <w:pPr>
              <w:jc w:val="center"/>
              <w:rPr>
                <w:color w:val="000000" w:themeColor="text1"/>
                <w:sz w:val="24"/>
              </w:rPr>
            </w:pPr>
            <w:r>
              <w:rPr>
                <w:rFonts w:hint="eastAsia"/>
                <w:color w:val="000000" w:themeColor="text1"/>
                <w:sz w:val="24"/>
              </w:rPr>
              <w:t>政府采购内容清单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51" w:type="dxa"/>
            <w:vAlign w:val="center"/>
          </w:tcPr>
          <w:p>
            <w:pPr>
              <w:ind w:firstLine="720" w:firstLineChars="300"/>
              <w:rPr>
                <w:color w:val="000000" w:themeColor="text1"/>
                <w:sz w:val="24"/>
              </w:rPr>
            </w:pPr>
            <w:r>
              <w:rPr>
                <w:rFonts w:hint="eastAsia"/>
                <w:color w:val="000000" w:themeColor="text1"/>
                <w:sz w:val="24"/>
              </w:rPr>
              <w:t>序号</w:t>
            </w:r>
          </w:p>
        </w:tc>
        <w:tc>
          <w:tcPr>
            <w:tcW w:w="4111" w:type="dxa"/>
            <w:gridSpan w:val="3"/>
            <w:vAlign w:val="center"/>
          </w:tcPr>
          <w:p>
            <w:pPr>
              <w:ind w:firstLine="1920" w:firstLineChars="800"/>
              <w:rPr>
                <w:color w:val="000000" w:themeColor="text1"/>
                <w:sz w:val="24"/>
              </w:rPr>
            </w:pPr>
            <w:r>
              <w:rPr>
                <w:rFonts w:hint="eastAsia"/>
                <w:color w:val="000000" w:themeColor="text1"/>
                <w:sz w:val="24"/>
              </w:rPr>
              <w:t>名称</w:t>
            </w:r>
          </w:p>
        </w:tc>
        <w:tc>
          <w:tcPr>
            <w:tcW w:w="2460" w:type="dxa"/>
            <w:vAlign w:val="center"/>
          </w:tcPr>
          <w:p>
            <w:pPr>
              <w:jc w:val="center"/>
              <w:rPr>
                <w:color w:val="000000" w:themeColor="text1"/>
                <w:sz w:val="24"/>
              </w:rPr>
            </w:pPr>
            <w:r>
              <w:rPr>
                <w:rFonts w:hint="eastAsia"/>
                <w:color w:val="000000" w:themeColor="text1"/>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51" w:type="dxa"/>
          </w:tcPr>
          <w:p>
            <w:pPr>
              <w:rPr>
                <w:color w:val="000000" w:themeColor="text1"/>
                <w:sz w:val="24"/>
              </w:rPr>
            </w:pPr>
          </w:p>
        </w:tc>
        <w:tc>
          <w:tcPr>
            <w:tcW w:w="4111" w:type="dxa"/>
            <w:gridSpan w:val="3"/>
          </w:tcPr>
          <w:p>
            <w:pPr>
              <w:rPr>
                <w:color w:val="000000" w:themeColor="text1"/>
                <w:sz w:val="24"/>
              </w:rPr>
            </w:pPr>
          </w:p>
        </w:tc>
        <w:tc>
          <w:tcPr>
            <w:tcW w:w="2460"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951" w:type="dxa"/>
          </w:tcPr>
          <w:p>
            <w:pPr>
              <w:rPr>
                <w:color w:val="000000" w:themeColor="text1"/>
                <w:sz w:val="24"/>
              </w:rPr>
            </w:pPr>
          </w:p>
        </w:tc>
        <w:tc>
          <w:tcPr>
            <w:tcW w:w="4111" w:type="dxa"/>
            <w:gridSpan w:val="3"/>
          </w:tcPr>
          <w:p>
            <w:pPr>
              <w:rPr>
                <w:color w:val="000000" w:themeColor="text1"/>
                <w:sz w:val="24"/>
              </w:rPr>
            </w:pPr>
          </w:p>
        </w:tc>
        <w:tc>
          <w:tcPr>
            <w:tcW w:w="2460"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951" w:type="dxa"/>
          </w:tcPr>
          <w:p>
            <w:pPr>
              <w:rPr>
                <w:color w:val="000000" w:themeColor="text1"/>
                <w:sz w:val="24"/>
              </w:rPr>
            </w:pPr>
          </w:p>
        </w:tc>
        <w:tc>
          <w:tcPr>
            <w:tcW w:w="4111" w:type="dxa"/>
            <w:gridSpan w:val="3"/>
          </w:tcPr>
          <w:p>
            <w:pPr>
              <w:rPr>
                <w:color w:val="000000" w:themeColor="text1"/>
                <w:sz w:val="24"/>
              </w:rPr>
            </w:pPr>
          </w:p>
        </w:tc>
        <w:tc>
          <w:tcPr>
            <w:tcW w:w="2460"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951" w:type="dxa"/>
          </w:tcPr>
          <w:p>
            <w:pPr>
              <w:jc w:val="center"/>
              <w:rPr>
                <w:color w:val="000000" w:themeColor="text1"/>
                <w:sz w:val="24"/>
              </w:rPr>
            </w:pPr>
          </w:p>
        </w:tc>
        <w:tc>
          <w:tcPr>
            <w:tcW w:w="4111" w:type="dxa"/>
            <w:gridSpan w:val="3"/>
          </w:tcPr>
          <w:p>
            <w:pPr>
              <w:rPr>
                <w:color w:val="000000" w:themeColor="text1"/>
                <w:sz w:val="24"/>
              </w:rPr>
            </w:pPr>
          </w:p>
        </w:tc>
        <w:tc>
          <w:tcPr>
            <w:tcW w:w="2460"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951" w:type="dxa"/>
          </w:tcPr>
          <w:p>
            <w:pPr>
              <w:jc w:val="center"/>
              <w:rPr>
                <w:color w:val="000000" w:themeColor="text1"/>
                <w:sz w:val="24"/>
              </w:rPr>
            </w:pPr>
          </w:p>
        </w:tc>
        <w:tc>
          <w:tcPr>
            <w:tcW w:w="4111" w:type="dxa"/>
            <w:gridSpan w:val="3"/>
          </w:tcPr>
          <w:p>
            <w:pPr>
              <w:rPr>
                <w:color w:val="000000" w:themeColor="text1"/>
                <w:sz w:val="24"/>
              </w:rPr>
            </w:pPr>
          </w:p>
        </w:tc>
        <w:tc>
          <w:tcPr>
            <w:tcW w:w="2460"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951" w:type="dxa"/>
          </w:tcPr>
          <w:p>
            <w:pPr>
              <w:jc w:val="center"/>
              <w:rPr>
                <w:color w:val="000000" w:themeColor="text1"/>
                <w:sz w:val="24"/>
              </w:rPr>
            </w:pPr>
          </w:p>
        </w:tc>
        <w:tc>
          <w:tcPr>
            <w:tcW w:w="4111" w:type="dxa"/>
            <w:gridSpan w:val="3"/>
          </w:tcPr>
          <w:p>
            <w:pPr>
              <w:rPr>
                <w:color w:val="000000" w:themeColor="text1"/>
                <w:sz w:val="24"/>
              </w:rPr>
            </w:pPr>
          </w:p>
        </w:tc>
        <w:tc>
          <w:tcPr>
            <w:tcW w:w="2460"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951" w:type="dxa"/>
          </w:tcPr>
          <w:p>
            <w:pPr>
              <w:jc w:val="center"/>
              <w:rPr>
                <w:color w:val="000000" w:themeColor="text1"/>
                <w:sz w:val="24"/>
              </w:rPr>
            </w:pPr>
          </w:p>
          <w:p>
            <w:pPr>
              <w:jc w:val="center"/>
              <w:rPr>
                <w:color w:val="000000" w:themeColor="text1"/>
                <w:sz w:val="24"/>
              </w:rPr>
            </w:pPr>
            <w:r>
              <w:rPr>
                <w:rFonts w:hint="eastAsia"/>
                <w:color w:val="000000" w:themeColor="text1"/>
                <w:sz w:val="24"/>
              </w:rPr>
              <w:t>申请部门</w:t>
            </w:r>
          </w:p>
          <w:p>
            <w:pPr>
              <w:jc w:val="center"/>
              <w:rPr>
                <w:color w:val="000000" w:themeColor="text1"/>
                <w:sz w:val="24"/>
              </w:rPr>
            </w:pPr>
            <w:r>
              <w:rPr>
                <w:rFonts w:hint="eastAsia"/>
                <w:color w:val="000000" w:themeColor="text1"/>
                <w:sz w:val="24"/>
              </w:rPr>
              <w:t>主要负责人意见</w:t>
            </w:r>
          </w:p>
        </w:tc>
        <w:tc>
          <w:tcPr>
            <w:tcW w:w="2268" w:type="dxa"/>
            <w:gridSpan w:val="2"/>
          </w:tcPr>
          <w:p>
            <w:pPr>
              <w:jc w:val="center"/>
              <w:rPr>
                <w:color w:val="000000" w:themeColor="text1"/>
                <w:sz w:val="24"/>
              </w:rPr>
            </w:pPr>
          </w:p>
        </w:tc>
        <w:tc>
          <w:tcPr>
            <w:tcW w:w="1843" w:type="dxa"/>
          </w:tcPr>
          <w:p>
            <w:pPr>
              <w:jc w:val="center"/>
              <w:rPr>
                <w:color w:val="000000" w:themeColor="text1"/>
                <w:sz w:val="24"/>
              </w:rPr>
            </w:pPr>
          </w:p>
          <w:p>
            <w:pPr>
              <w:jc w:val="center"/>
              <w:rPr>
                <w:color w:val="000000" w:themeColor="text1"/>
                <w:sz w:val="24"/>
              </w:rPr>
            </w:pPr>
            <w:r>
              <w:rPr>
                <w:rFonts w:hint="eastAsia"/>
                <w:color w:val="000000" w:themeColor="text1"/>
                <w:sz w:val="24"/>
              </w:rPr>
              <w:t>申请部门分管院领导意见</w:t>
            </w:r>
          </w:p>
        </w:tc>
        <w:tc>
          <w:tcPr>
            <w:tcW w:w="2460" w:type="dxa"/>
          </w:tcPr>
          <w:p>
            <w:pPr>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951" w:type="dxa"/>
            <w:vAlign w:val="center"/>
          </w:tcPr>
          <w:p>
            <w:pPr>
              <w:jc w:val="center"/>
              <w:rPr>
                <w:color w:val="000000" w:themeColor="text1"/>
                <w:sz w:val="24"/>
              </w:rPr>
            </w:pPr>
            <w:r>
              <w:rPr>
                <w:rFonts w:hint="eastAsia"/>
                <w:color w:val="000000" w:themeColor="text1"/>
                <w:sz w:val="24"/>
              </w:rPr>
              <w:t>预估资金</w:t>
            </w:r>
          </w:p>
          <w:p>
            <w:pPr>
              <w:jc w:val="center"/>
              <w:rPr>
                <w:color w:val="000000" w:themeColor="text1"/>
                <w:sz w:val="24"/>
              </w:rPr>
            </w:pPr>
            <w:r>
              <w:rPr>
                <w:rFonts w:hint="eastAsia"/>
                <w:color w:val="000000" w:themeColor="text1"/>
                <w:sz w:val="24"/>
              </w:rPr>
              <w:t>需求额度</w:t>
            </w:r>
          </w:p>
        </w:tc>
        <w:tc>
          <w:tcPr>
            <w:tcW w:w="6571" w:type="dxa"/>
            <w:gridSpan w:val="4"/>
            <w:vAlign w:val="center"/>
          </w:tcPr>
          <w:p>
            <w:pPr>
              <w:wordWrap w:val="0"/>
              <w:jc w:val="right"/>
              <w:rPr>
                <w:color w:val="000000" w:themeColor="text1"/>
                <w:sz w:val="24"/>
              </w:rPr>
            </w:pPr>
            <w:r>
              <w:rPr>
                <w:rFonts w:hint="eastAsia"/>
                <w:color w:val="000000" w:themeColor="text1"/>
                <w:sz w:val="24"/>
              </w:rPr>
              <w:t>佰  拾  万  仟  佰  拾  元  角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951" w:type="dxa"/>
            <w:vAlign w:val="center"/>
          </w:tcPr>
          <w:p>
            <w:pPr>
              <w:wordWrap w:val="0"/>
              <w:ind w:firstLine="360" w:firstLineChars="150"/>
              <w:rPr>
                <w:color w:val="000000" w:themeColor="text1"/>
                <w:sz w:val="24"/>
              </w:rPr>
            </w:pPr>
            <w:r>
              <w:rPr>
                <w:rFonts w:hint="eastAsia"/>
                <w:color w:val="000000" w:themeColor="text1"/>
                <w:sz w:val="24"/>
              </w:rPr>
              <w:t>财务部门</w:t>
            </w:r>
          </w:p>
          <w:p>
            <w:pPr>
              <w:wordWrap w:val="0"/>
              <w:jc w:val="center"/>
              <w:rPr>
                <w:color w:val="000000" w:themeColor="text1"/>
                <w:sz w:val="24"/>
              </w:rPr>
            </w:pPr>
            <w:r>
              <w:rPr>
                <w:rFonts w:hint="eastAsia"/>
                <w:color w:val="000000" w:themeColor="text1"/>
                <w:sz w:val="24"/>
              </w:rPr>
              <w:t>可行性</w:t>
            </w:r>
          </w:p>
          <w:p>
            <w:pPr>
              <w:jc w:val="center"/>
              <w:rPr>
                <w:color w:val="000000" w:themeColor="text1"/>
                <w:sz w:val="24"/>
              </w:rPr>
            </w:pPr>
            <w:r>
              <w:rPr>
                <w:rFonts w:hint="eastAsia"/>
                <w:color w:val="000000" w:themeColor="text1"/>
                <w:sz w:val="24"/>
              </w:rPr>
              <w:t>意见</w:t>
            </w:r>
          </w:p>
        </w:tc>
        <w:tc>
          <w:tcPr>
            <w:tcW w:w="2268" w:type="dxa"/>
            <w:gridSpan w:val="2"/>
            <w:vAlign w:val="center"/>
          </w:tcPr>
          <w:p>
            <w:pPr>
              <w:wordWrap w:val="0"/>
              <w:jc w:val="center"/>
              <w:rPr>
                <w:color w:val="000000" w:themeColor="text1"/>
                <w:sz w:val="24"/>
              </w:rPr>
            </w:pPr>
          </w:p>
        </w:tc>
        <w:tc>
          <w:tcPr>
            <w:tcW w:w="1843" w:type="dxa"/>
            <w:vAlign w:val="center"/>
          </w:tcPr>
          <w:p>
            <w:pPr>
              <w:jc w:val="center"/>
              <w:rPr>
                <w:color w:val="000000" w:themeColor="text1"/>
                <w:sz w:val="24"/>
              </w:rPr>
            </w:pPr>
            <w:r>
              <w:rPr>
                <w:rFonts w:hint="eastAsia"/>
                <w:color w:val="000000" w:themeColor="text1"/>
                <w:sz w:val="24"/>
              </w:rPr>
              <w:t>采购领导小组办公室意见</w:t>
            </w:r>
          </w:p>
        </w:tc>
        <w:tc>
          <w:tcPr>
            <w:tcW w:w="2460" w:type="dxa"/>
          </w:tcPr>
          <w:p>
            <w:pPr>
              <w:wordWrap w:val="0"/>
              <w:jc w:val="right"/>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951" w:type="dxa"/>
            <w:vAlign w:val="center"/>
          </w:tcPr>
          <w:p>
            <w:pPr>
              <w:jc w:val="center"/>
              <w:rPr>
                <w:color w:val="000000" w:themeColor="text1"/>
                <w:sz w:val="24"/>
              </w:rPr>
            </w:pPr>
            <w:r>
              <w:rPr>
                <w:rFonts w:hint="eastAsia"/>
                <w:color w:val="000000" w:themeColor="text1"/>
                <w:sz w:val="24"/>
              </w:rPr>
              <w:t>监督组组长</w:t>
            </w:r>
          </w:p>
          <w:p>
            <w:pPr>
              <w:jc w:val="center"/>
              <w:rPr>
                <w:color w:val="000000" w:themeColor="text1"/>
                <w:sz w:val="24"/>
              </w:rPr>
            </w:pPr>
            <w:r>
              <w:rPr>
                <w:rFonts w:hint="eastAsia"/>
                <w:color w:val="000000" w:themeColor="text1"/>
                <w:sz w:val="24"/>
              </w:rPr>
              <w:t>意见</w:t>
            </w:r>
          </w:p>
        </w:tc>
        <w:tc>
          <w:tcPr>
            <w:tcW w:w="2268" w:type="dxa"/>
            <w:gridSpan w:val="2"/>
            <w:vAlign w:val="center"/>
          </w:tcPr>
          <w:p>
            <w:pPr>
              <w:wordWrap w:val="0"/>
              <w:jc w:val="center"/>
              <w:rPr>
                <w:color w:val="000000" w:themeColor="text1"/>
                <w:sz w:val="24"/>
              </w:rPr>
            </w:pPr>
          </w:p>
        </w:tc>
        <w:tc>
          <w:tcPr>
            <w:tcW w:w="1843" w:type="dxa"/>
            <w:vAlign w:val="center"/>
          </w:tcPr>
          <w:p>
            <w:pPr>
              <w:jc w:val="center"/>
              <w:rPr>
                <w:color w:val="000000" w:themeColor="text1"/>
                <w:sz w:val="24"/>
              </w:rPr>
            </w:pPr>
            <w:r>
              <w:rPr>
                <w:rFonts w:hint="eastAsia"/>
                <w:color w:val="000000" w:themeColor="text1"/>
                <w:sz w:val="24"/>
              </w:rPr>
              <w:t>分管财务院领导意见</w:t>
            </w:r>
          </w:p>
        </w:tc>
        <w:tc>
          <w:tcPr>
            <w:tcW w:w="2460" w:type="dxa"/>
          </w:tcPr>
          <w:p>
            <w:pPr>
              <w:wordWrap w:val="0"/>
              <w:jc w:val="right"/>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951" w:type="dxa"/>
            <w:vAlign w:val="center"/>
          </w:tcPr>
          <w:p>
            <w:pPr>
              <w:jc w:val="center"/>
              <w:rPr>
                <w:color w:val="000000" w:themeColor="text1"/>
                <w:sz w:val="24"/>
              </w:rPr>
            </w:pPr>
            <w:r>
              <w:rPr>
                <w:rFonts w:hint="eastAsia"/>
                <w:color w:val="000000" w:themeColor="text1"/>
                <w:sz w:val="24"/>
              </w:rPr>
              <w:t>采购领导小组 常务副组长</w:t>
            </w:r>
          </w:p>
          <w:p>
            <w:pPr>
              <w:jc w:val="center"/>
              <w:rPr>
                <w:color w:val="000000" w:themeColor="text1"/>
                <w:sz w:val="24"/>
              </w:rPr>
            </w:pPr>
            <w:r>
              <w:rPr>
                <w:rFonts w:hint="eastAsia"/>
                <w:color w:val="000000" w:themeColor="text1"/>
                <w:sz w:val="24"/>
              </w:rPr>
              <w:t>意见</w:t>
            </w:r>
          </w:p>
        </w:tc>
        <w:tc>
          <w:tcPr>
            <w:tcW w:w="2268" w:type="dxa"/>
            <w:gridSpan w:val="2"/>
            <w:vAlign w:val="center"/>
          </w:tcPr>
          <w:p>
            <w:pPr>
              <w:wordWrap w:val="0"/>
              <w:jc w:val="center"/>
              <w:rPr>
                <w:color w:val="000000" w:themeColor="text1"/>
                <w:sz w:val="24"/>
              </w:rPr>
            </w:pPr>
          </w:p>
        </w:tc>
        <w:tc>
          <w:tcPr>
            <w:tcW w:w="1843" w:type="dxa"/>
            <w:vAlign w:val="center"/>
          </w:tcPr>
          <w:p>
            <w:pPr>
              <w:wordWrap w:val="0"/>
              <w:jc w:val="center"/>
              <w:rPr>
                <w:color w:val="000000" w:themeColor="text1"/>
                <w:sz w:val="24"/>
              </w:rPr>
            </w:pPr>
            <w:r>
              <w:rPr>
                <w:rFonts w:hint="eastAsia"/>
                <w:color w:val="000000" w:themeColor="text1"/>
                <w:sz w:val="24"/>
              </w:rPr>
              <w:t>采购领导小组</w:t>
            </w:r>
          </w:p>
          <w:p>
            <w:pPr>
              <w:jc w:val="center"/>
              <w:rPr>
                <w:color w:val="000000" w:themeColor="text1"/>
                <w:sz w:val="24"/>
              </w:rPr>
            </w:pPr>
            <w:r>
              <w:rPr>
                <w:rFonts w:hint="eastAsia"/>
                <w:color w:val="000000" w:themeColor="text1"/>
                <w:sz w:val="24"/>
              </w:rPr>
              <w:t>组长审定意见</w:t>
            </w:r>
          </w:p>
        </w:tc>
        <w:tc>
          <w:tcPr>
            <w:tcW w:w="2460" w:type="dxa"/>
          </w:tcPr>
          <w:p>
            <w:pPr>
              <w:wordWrap w:val="0"/>
              <w:jc w:val="right"/>
              <w:rPr>
                <w:color w:val="000000" w:themeColor="text1"/>
                <w:sz w:val="24"/>
              </w:rPr>
            </w:pPr>
          </w:p>
        </w:tc>
      </w:tr>
    </w:tbl>
    <w:p>
      <w:pPr>
        <w:rPr>
          <w:color w:val="000000" w:themeColor="text1"/>
        </w:rPr>
      </w:pPr>
      <w:r>
        <w:rPr>
          <w:rFonts w:hint="eastAsia"/>
          <w:color w:val="000000" w:themeColor="text1"/>
        </w:rPr>
        <w:t>注：1.原则上一批次采购的，只填写一张表。如一批次采购内容较多，可另加表；</w:t>
      </w:r>
    </w:p>
    <w:p>
      <w:pPr>
        <w:ind w:firstLine="420" w:firstLineChars="200"/>
        <w:rPr>
          <w:color w:val="000000" w:themeColor="text1"/>
        </w:rPr>
      </w:pPr>
      <w:r>
        <w:rPr>
          <w:rFonts w:hint="eastAsia"/>
          <w:color w:val="000000" w:themeColor="text1"/>
        </w:rPr>
        <w:t>2.采购组组长应当提出采购方式意见。</w:t>
      </w:r>
    </w:p>
    <w:p>
      <w:pPr>
        <w:rPr>
          <w:color w:val="000000" w:themeColor="text1"/>
        </w:rPr>
      </w:pPr>
    </w:p>
    <w:p>
      <w:pPr>
        <w:rPr>
          <w:color w:val="000000" w:themeColor="text1"/>
        </w:rPr>
      </w:pPr>
    </w:p>
    <w:p>
      <w:pPr>
        <w:rPr>
          <w:color w:val="000000" w:themeColor="text1"/>
        </w:rPr>
      </w:pPr>
      <w:r>
        <w:rPr>
          <w:rFonts w:hint="eastAsia"/>
          <w:color w:val="000000" w:themeColor="text1"/>
        </w:rPr>
        <w:t>采购预算流程图</w:t>
      </w:r>
    </w:p>
    <w:p>
      <w:pPr>
        <w:rPr>
          <w:color w:val="000000" w:themeColor="text1"/>
        </w:rPr>
      </w:pPr>
      <w:r>
        <w:rPr>
          <w:rFonts w:hint="eastAsia"/>
          <w:color w:val="000000" w:themeColor="text1"/>
        </w:rPr>
        <w:object>
          <v:shape id="_x0000_i1025" o:spt="75" type="#_x0000_t75" style="height:550.75pt;width:433.85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rPr>
          <w:color w:val="000000" w:themeColor="text1"/>
        </w:rPr>
      </w:pPr>
      <w:r>
        <w:rPr>
          <w:rFonts w:hint="eastAsia"/>
          <w:color w:val="000000" w:themeColor="text1"/>
        </w:rPr>
        <w:br w:type="page"/>
      </w:r>
      <w:r>
        <w:rPr>
          <w:rFonts w:hint="eastAsia"/>
          <w:color w:val="000000" w:themeColor="text1"/>
        </w:rPr>
        <w:t>采购申请及实施流程图</w:t>
      </w:r>
    </w:p>
    <w:p>
      <w:pPr>
        <w:rPr>
          <w:color w:val="000000" w:themeColor="text1"/>
        </w:rPr>
      </w:pPr>
      <w:r>
        <w:rPr>
          <w:color w:val="000000" w:themeColor="text1"/>
        </w:rPr>
        <w:pict>
          <v:roundrect id="圆角矩形 2" o:spid="_x0000_s1049" o:spt="2" style="position:absolute;left:0pt;margin-left:179.15pt;margin-top:3.6pt;height:23.7pt;width:69.85pt;z-index:251683840;v-text-anchor:middle;mso-width-relative:page;mso-height-relative:page;" coordsize="21600,21600" arcsize="0.166666666666667">
            <v:path/>
            <v:fill focussize="0,0"/>
            <v:stroke weight="0.25pt"/>
            <v:imagedata o:title=""/>
            <o:lock v:ext="edit"/>
            <v:textbox>
              <w:txbxContent>
                <w:p>
                  <w:pPr>
                    <w:jc w:val="center"/>
                  </w:pPr>
                  <w:r>
                    <w:rPr>
                      <w:rFonts w:hint="eastAsia"/>
                    </w:rPr>
                    <w:t>开始</w:t>
                  </w:r>
                </w:p>
              </w:txbxContent>
            </v:textbox>
          </v:roundrect>
        </w:pict>
      </w:r>
    </w:p>
    <w:p>
      <w:pPr>
        <w:jc w:val="center"/>
        <w:rPr>
          <w:color w:val="000000" w:themeColor="text1"/>
        </w:rPr>
        <w:sectPr>
          <w:footerReference r:id="rId3" w:type="default"/>
          <w:footerReference r:id="rId4" w:type="even"/>
          <w:pgSz w:w="11906" w:h="16838"/>
          <w:pgMar w:top="1440" w:right="1797" w:bottom="1440" w:left="1797" w:header="851" w:footer="992" w:gutter="0"/>
          <w:cols w:space="720" w:num="1"/>
          <w:docGrid w:type="linesAndChars" w:linePitch="312" w:charSpace="0"/>
        </w:sectPr>
      </w:pPr>
      <w:r>
        <w:rPr>
          <w:color w:val="000000" w:themeColor="text1"/>
        </w:rPr>
        <w:pict>
          <v:rect id="矩形 53" o:spid="_x0000_s1070" o:spt="1" style="position:absolute;left:0pt;margin-left:347.75pt;margin-top:566.55pt;height:37.25pt;width:105.55pt;z-index:251705344;v-text-anchor:middle;mso-width-relative:page;mso-height-relative:page;" coordsize="21600,21600">
            <v:path/>
            <v:fill focussize="0,0"/>
            <v:stroke weight="0.25pt" joinstyle="round"/>
            <v:imagedata o:title=""/>
            <o:lock v:ext="edit"/>
            <v:textbox>
              <w:txbxContent>
                <w:p>
                  <w:r>
                    <w:rPr>
                      <w:rFonts w:hint="eastAsia"/>
                    </w:rPr>
                    <w:t>委托招标代理机构组织</w:t>
                  </w:r>
                </w:p>
              </w:txbxContent>
            </v:textbox>
          </v:rect>
        </w:pict>
      </w:r>
      <w:r>
        <w:rPr>
          <w:color w:val="000000" w:themeColor="text1"/>
        </w:rPr>
        <w:pict>
          <v:rect id="_x0000_s1085" o:spid="_x0000_s1085" o:spt="1" style="position:absolute;left:0pt;margin-left:-18.95pt;margin-top:565.85pt;height:37.25pt;width:105.55pt;z-index:251720704;v-text-anchor:middle;mso-width-relative:page;mso-height-relative:page;" coordsize="21600,21600">
            <v:path/>
            <v:fill focussize="0,0"/>
            <v:stroke weight="0.25pt" joinstyle="round"/>
            <v:imagedata o:title=""/>
            <o:lock v:ext="edit"/>
            <v:textbox>
              <w:txbxContent>
                <w:p>
                  <w:r>
                    <w:rPr>
                      <w:rFonts w:hint="eastAsia"/>
                    </w:rPr>
                    <w:t>委托公共资源交易中心组织</w:t>
                  </w:r>
                </w:p>
              </w:txbxContent>
            </v:textbox>
          </v:rect>
        </w:pict>
      </w:r>
      <w:r>
        <w:rPr>
          <w:color w:val="000000" w:themeColor="text1"/>
        </w:rPr>
        <w:pict>
          <v:line id="直线 68" o:spid="_x0000_s1082" o:spt="20" style="position:absolute;left:0pt;flip:x;margin-left:86.65pt;margin-top:573.8pt;height:0.05pt;width:50pt;z-index:251717632;mso-width-relative:page;mso-height-relative:page;" filled="t" coordsize="21600,21600">
            <v:path arrowok="t"/>
            <v:fill on="t" focussize="0,0"/>
            <v:stroke endarrow="open"/>
            <v:imagedata o:title=""/>
            <o:lock v:ext="edit"/>
          </v:line>
        </w:pict>
      </w:r>
      <w:r>
        <w:rPr>
          <w:color w:val="000000" w:themeColor="text1"/>
        </w:rPr>
        <w:pict>
          <v:shape id="_x0000_s1084" o:spid="_x0000_s1084" o:spt="202" type="#_x0000_t202" style="position:absolute;left:0pt;margin-left:275.2pt;margin-top:550.95pt;height:20.5pt;width:76.05pt;z-index:251719680;mso-width-relative:page;mso-height-relative:page;" stroked="t" coordsize="21600,21600" o:gfxdata="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kP1NnZAAAACwEAAA8AAAAAAAAAAQAgAAAAIgAAAGRycy9kb3ducmV2LnhtbFBLAQIUABQAAAAI&#10;AIdO4kBpK2LmXgIAAMUEAAAOAAAAAAAAAAEAIAAAACgBAABkcnMvZTJvRG9jLnhtbFBLBQYAAAAA&#10;BgAGAFkBAAD4BQAAAAA=&#10;">
            <v:path/>
            <v:fill focussize="0,0"/>
            <v:stroke weight="0.5pt" color="#FFFFFF" joinstyle="round"/>
            <v:imagedata o:title=""/>
            <o:lock v:ext="edit"/>
            <v:textbox>
              <w:txbxContent>
                <w:p>
                  <w:r>
                    <w:rPr>
                      <w:rFonts w:hint="eastAsia"/>
                    </w:rPr>
                    <w:t>集采目录外</w:t>
                  </w:r>
                </w:p>
              </w:txbxContent>
            </v:textbox>
          </v:shape>
        </w:pict>
      </w:r>
      <w:r>
        <w:rPr>
          <w:color w:val="000000" w:themeColor="text1"/>
        </w:rPr>
        <w:pict>
          <v:roundrect id="圆角矩形 31" o:spid="_x0000_s1081" o:spt="2" style="position:absolute;left:0pt;margin-left:165.75pt;margin-top:627.45pt;height:22.95pt;width:92.2pt;z-index:251716608;v-text-anchor:middle;mso-width-relative:page;mso-height-relative:page;" coordsize="21600,21600" arcsize="0.166666666666667">
            <v:path/>
            <v:fill focussize="0,0"/>
            <v:stroke weight="0.25pt"/>
            <v:imagedata o:title=""/>
            <o:lock v:ext="edit"/>
            <v:textbox>
              <w:txbxContent>
                <w:p>
                  <w:pPr>
                    <w:jc w:val="center"/>
                  </w:pPr>
                  <w:r>
                    <w:rPr>
                      <w:rFonts w:hint="eastAsia"/>
                    </w:rPr>
                    <w:t>结束</w:t>
                  </w:r>
                </w:p>
              </w:txbxContent>
            </v:textbox>
          </v:roundrect>
        </w:pict>
      </w:r>
      <w:r>
        <w:rPr>
          <w:color w:val="000000" w:themeColor="text1"/>
        </w:rPr>
        <w:pict>
          <v:shape id="自选图形 71" o:spid="_x0000_s1040" o:spt="32" type="#_x0000_t32" style="position:absolute;left:0pt;flip:x;margin-left:211.55pt;margin-top:609.05pt;height:19.15pt;width:0.5pt;z-index:-251641856;mso-width-relative:page;mso-height-relative:page;" filled="f" stroked="t" coordsize="21600,21600">
            <v:path arrowok="t"/>
            <v:fill on="f" focussize="0,0"/>
            <v:stroke color="#000000" endarrow="block"/>
            <v:imagedata o:title=""/>
            <o:lock v:ext="edit" aspectratio="f"/>
          </v:shape>
        </w:pict>
      </w:r>
      <w:r>
        <w:rPr>
          <w:color w:val="000000" w:themeColor="text1"/>
        </w:rPr>
        <w:pict>
          <v:shape id="自选图形 70" o:spid="_x0000_s1039" o:spt="32" type="#_x0000_t32" style="position:absolute;left:0pt;margin-left:282.1pt;margin-top:573.75pt;height:1.35pt;width:65.2pt;z-index:-251642880;mso-width-relative:page;mso-height-relative:page;" filled="f" stroked="t" coordsize="21600,21600">
            <v:path arrowok="t"/>
            <v:fill on="f" focussize="0,0"/>
            <v:stroke color="#000000" endarrow="open"/>
            <v:imagedata o:title=""/>
            <o:lock v:ext="edit" aspectratio="f"/>
          </v:shape>
        </w:pict>
      </w:r>
      <w:r>
        <w:rPr>
          <w:color w:val="000000" w:themeColor="text1"/>
        </w:rPr>
        <w:pict>
          <v:shape id="_x0000_s1083" o:spid="_x0000_s1083" o:spt="202" type="#_x0000_t202" style="position:absolute;left:0pt;margin-left:72.55pt;margin-top:547pt;height:20.5pt;width:76.05pt;z-index:251718656;mso-width-relative:page;mso-height-relative:page;" stroked="t" coordsize="21600,21600" o:gfxdata="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kP1NnZAAAACwEAAA8AAAAAAAAAAQAgAAAAIgAAAGRycy9kb3ducmV2LnhtbFBLAQIUABQAAAAI&#10;AIdO4kBpK2LmXgIAAMUEAAAOAAAAAAAAAAEAIAAAACgBAABkcnMvZTJvRG9jLnhtbFBLBQYAAAAA&#10;BgAGAFkBAAD4BQAAAAA=&#10;">
            <v:path/>
            <v:fill focussize="0,0"/>
            <v:stroke weight="0.5pt" color="#FFFFFF" joinstyle="round"/>
            <v:imagedata o:title=""/>
            <o:lock v:ext="edit"/>
            <v:textbox>
              <w:txbxContent>
                <w:p>
                  <w:r>
                    <w:rPr>
                      <w:rFonts w:hint="eastAsia"/>
                    </w:rPr>
                    <w:t>集采目录内</w:t>
                  </w:r>
                </w:p>
              </w:txbxContent>
            </v:textbox>
          </v:shape>
        </w:pict>
      </w:r>
      <w:r>
        <w:rPr>
          <w:color w:val="000000" w:themeColor="text1"/>
        </w:rPr>
        <w:pict>
          <v:shape id="菱形 21" o:spid="_x0000_s1064" o:spt="4" type="#_x0000_t4" style="position:absolute;left:0pt;margin-left:141.05pt;margin-top:541.2pt;height:65.2pt;width:139.25pt;z-index:251699200;v-text-anchor:middle;mso-width-relative:page;mso-height-relative:page;" coordsize="21600,21600">
            <v:path/>
            <v:fill focussize="0,0"/>
            <v:stroke weight="0.25pt" joinstyle="round"/>
            <v:imagedata o:title=""/>
            <o:lock v:ext="edit"/>
            <v:textbox>
              <w:txbxContent>
                <w:p>
                  <w:pPr>
                    <w:jc w:val="center"/>
                  </w:pPr>
                  <w:r>
                    <w:rPr>
                      <w:rFonts w:hint="eastAsia"/>
                    </w:rPr>
                    <w:t>政府采购</w:t>
                  </w:r>
                </w:p>
                <w:p>
                  <w:pPr>
                    <w:jc w:val="center"/>
                  </w:pPr>
                  <w:r>
                    <w:rPr>
                      <w:rFonts w:hint="eastAsia"/>
                    </w:rPr>
                    <w:t>限额以上</w:t>
                  </w:r>
                </w:p>
                <w:p>
                  <w:pPr>
                    <w:jc w:val="center"/>
                  </w:pPr>
                  <w:r>
                    <w:rPr>
                      <w:rFonts w:hint="eastAsia"/>
                    </w:rPr>
                    <w:t>标准以上</w:t>
                  </w:r>
                </w:p>
              </w:txbxContent>
            </v:textbox>
          </v:shape>
        </w:pict>
      </w:r>
      <w:r>
        <w:rPr>
          <w:color w:val="000000" w:themeColor="text1"/>
        </w:rPr>
        <w:pict>
          <v:line id="直线 61" o:spid="_x0000_s1038" o:spt="20" style="position:absolute;left:0pt;flip:y;margin-left:282.05pt;margin-top:445.35pt;height:0.35pt;width:106.95pt;z-index:-251643904;mso-width-relative:page;mso-height-relative:page;" coordsize="21600,21600">
            <v:path arrowok="t"/>
            <v:fill focussize="0,0"/>
            <v:stroke/>
            <v:imagedata o:title=""/>
            <o:lock v:ext="edit"/>
          </v:line>
        </w:pict>
      </w:r>
      <w:r>
        <w:rPr>
          <w:color w:val="000000" w:themeColor="text1"/>
        </w:rPr>
        <w:pict>
          <v:shape id="自选图形 59" o:spid="_x0000_s1080" o:spt="33" type="#_x0000_t33" style="position:absolute;left:0pt;flip:y;margin-left:280.6pt;margin-top:427.65pt;height:76.5pt;width:107.85pt;z-index:251715584;mso-width-relative:page;mso-height-relative:page;" filled="f" stroked="t" coordsize="21600,21600">
            <v:path arrowok="t"/>
            <v:fill on="f" focussize="0,0"/>
            <v:stroke color="#000000" joinstyle="miter" endarrow="open"/>
            <v:imagedata o:title=""/>
            <o:lock v:ext="edit" aspectratio="f"/>
          </v:shape>
        </w:pict>
      </w:r>
      <w:r>
        <w:rPr>
          <w:color w:val="000000" w:themeColor="text1"/>
        </w:rPr>
        <w:pict>
          <v:rect id="_x0000_s1079" o:spid="_x0000_s1079" o:spt="1" style="position:absolute;left:0pt;margin-left:335.65pt;margin-top:355.75pt;height:71.9pt;width:105.55pt;z-index:251714560;v-text-anchor:middle;mso-width-relative:page;mso-height-relative:page;" coordsize="21600,21600">
            <v:path/>
            <v:fill focussize="0,0"/>
            <v:stroke weight="0.25pt" joinstyle="round"/>
            <v:imagedata o:title=""/>
            <o:lock v:ext="edit"/>
            <v:textbox>
              <w:txbxContent>
                <w:p>
                  <w:pPr>
                    <w:jc w:val="left"/>
                  </w:pPr>
                  <w:r>
                    <w:rPr>
                      <w:rFonts w:hint="eastAsia"/>
                    </w:rPr>
                    <w:t>通过询价、竞争性谈判、竞争性磋商等采购程序后，在电子卖场直购</w:t>
                  </w:r>
                </w:p>
              </w:txbxContent>
            </v:textbox>
          </v:rect>
        </w:pict>
      </w:r>
      <w:r>
        <w:rPr>
          <w:color w:val="000000" w:themeColor="text1"/>
        </w:rPr>
        <w:pict>
          <v:shape id="_x0000_s1073" o:spid="_x0000_s1073" o:spt="202" type="#_x0000_t202" style="position:absolute;left:0pt;margin-left:225.35pt;margin-top:276pt;height:20.5pt;width:50.05pt;z-index:251708416;mso-width-relative:page;mso-height-relative:page;" stroked="t" coordsize="21600,21600" o:gfxdata="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qapHXZAAAACwEA&#10;AA8AAAAAAAAAAQAgAAAAIgAAAGRycy9kb3ducmV2LnhtbFBLAQIUABQAAAAIAIdO4kAdg65sUgIA&#10;ALkEAAAOAAAAAAAAAAEAIAAAACgBAABkcnMvZTJvRG9jLnhtbFBLBQYAAAAABgAGAFkBAADsBQAA&#10;AAA=&#10;">
            <v:path/>
            <v:fill focussize="0,0"/>
            <v:stroke weight="0.5pt" color="#FFFFFF" joinstyle="round"/>
            <v:imagedata o:title=""/>
            <o:lock v:ext="edit"/>
            <v:textbox>
              <w:txbxContent>
                <w:p>
                  <w:r>
                    <w:rPr>
                      <w:rFonts w:hint="eastAsia"/>
                    </w:rPr>
                    <w:t>以上</w:t>
                  </w:r>
                </w:p>
              </w:txbxContent>
            </v:textbox>
          </v:shape>
        </w:pict>
      </w:r>
      <w:r>
        <w:rPr>
          <w:color w:val="000000" w:themeColor="text1"/>
        </w:rPr>
        <w:pict>
          <v:shape id="自选图形 53" o:spid="_x0000_s1037" o:spt="32" type="#_x0000_t32" style="position:absolute;left:0pt;flip:x;margin-left:210.85pt;margin-top:522.4pt;height:19.15pt;width:0.5pt;z-index:-251644928;mso-width-relative:page;mso-height-relative:page;" filled="f" stroked="t" coordsize="21600,21600">
            <v:path arrowok="t"/>
            <v:fill on="f" focussize="0,0"/>
            <v:stroke color="#000000" endarrow="block"/>
            <v:imagedata o:title=""/>
            <o:lock v:ext="edit" aspectratio="f"/>
          </v:shape>
        </w:pict>
      </w:r>
      <w:r>
        <w:rPr>
          <w:color w:val="000000" w:themeColor="text1"/>
        </w:rPr>
        <w:pict>
          <v:rect id="矩形 5" o:spid="_x0000_s1074" o:spt="1" style="position:absolute;left:0pt;margin-left:140.1pt;margin-top:470.45pt;height:53.45pt;width:138.05pt;z-index:251709440;v-text-anchor:middle;mso-width-relative:page;mso-height-relative:page;" coordsize="21600,21600">
            <v:path/>
            <v:fill focussize="0,0"/>
            <v:stroke weight="0.25pt" joinstyle="round"/>
            <v:imagedata o:title=""/>
            <o:lock v:ext="edit"/>
            <v:textbox>
              <w:txbxContent>
                <w:p>
                  <w:pPr>
                    <w:ind w:firstLine="840" w:firstLineChars="400"/>
                  </w:pPr>
                  <w:r>
                    <w:rPr>
                      <w:rFonts w:hint="eastAsia"/>
                    </w:rPr>
                    <w:t>9、审批</w:t>
                  </w:r>
                </w:p>
                <w:p>
                  <w:pPr>
                    <w:jc w:val="center"/>
                  </w:pPr>
                  <w:r>
                    <w:rPr>
                      <w:rFonts w:hint="eastAsia"/>
                    </w:rPr>
                    <w:t>（5万元以上的新增项目，党组会集体研究决定）</w:t>
                  </w:r>
                </w:p>
              </w:txbxContent>
            </v:textbox>
          </v:rect>
        </w:pict>
      </w:r>
      <w:r>
        <w:rPr>
          <w:color w:val="000000" w:themeColor="text1"/>
        </w:rPr>
        <w:pict>
          <v:shape id="自选图形 15" o:spid="_x0000_s1077" o:spt="32" type="#_x0000_t32" style="position:absolute;left:0pt;flip:x;margin-left:210.55pt;margin-top:451.9pt;height:19.15pt;width:0.5pt;z-index:251712512;mso-width-relative:page;mso-height-relative:page;" filled="f" stroked="t" coordsize="21600,21600">
            <v:path arrowok="t"/>
            <v:fill on="f" focussize="0,0"/>
            <v:stroke color="#000000" endarrow="block"/>
            <v:imagedata o:title=""/>
            <o:lock v:ext="edit" aspectratio="f"/>
          </v:shape>
        </w:pict>
      </w:r>
      <w:r>
        <w:rPr>
          <w:color w:val="000000" w:themeColor="text1"/>
        </w:rPr>
        <w:pict>
          <v:rect id="矩形 23" o:spid="_x0000_s1063" o:spt="1" style="position:absolute;left:0pt;margin-left:143.4pt;margin-top:415.4pt;height:36.2pt;width:138.05pt;z-index:251698176;v-text-anchor:middle;mso-width-relative:page;mso-height-relative:page;" coordsize="21600,21600">
            <v:path/>
            <v:fill focussize="0,0"/>
            <v:stroke weight="0.25pt" joinstyle="round"/>
            <v:imagedata o:title=""/>
            <o:lock v:ext="edit"/>
            <v:textbox>
              <w:txbxContent>
                <w:p>
                  <w:pPr>
                    <w:ind w:firstLine="840" w:firstLineChars="400"/>
                  </w:pPr>
                  <w:r>
                    <w:rPr>
                      <w:rFonts w:hint="eastAsia"/>
                    </w:rPr>
                    <w:t>8、审批</w:t>
                  </w:r>
                </w:p>
                <w:p>
                  <w:pPr>
                    <w:jc w:val="center"/>
                  </w:pPr>
                  <w:r>
                    <w:rPr>
                      <w:rFonts w:hint="eastAsia"/>
                    </w:rPr>
                    <w:t>（3万元以上）</w:t>
                  </w:r>
                </w:p>
              </w:txbxContent>
            </v:textbox>
          </v:rect>
        </w:pict>
      </w:r>
      <w:r>
        <w:rPr>
          <w:color w:val="000000" w:themeColor="text1"/>
        </w:rPr>
        <w:pict>
          <v:shape id="自选图形 17" o:spid="_x0000_s1075" o:spt="32" type="#_x0000_t32" style="position:absolute;left:0pt;flip:x;margin-left:211pt;margin-top:395.85pt;height:19.15pt;width:0.5pt;z-index:251710464;mso-width-relative:page;mso-height-relative:page;" filled="f" stroked="t" coordsize="21600,21600">
            <v:path arrowok="t"/>
            <v:fill on="f" focussize="0,0"/>
            <v:stroke color="#000000" endarrow="block"/>
            <v:imagedata o:title=""/>
            <o:lock v:ext="edit" aspectratio="f"/>
          </v:shape>
        </w:pict>
      </w:r>
      <w:r>
        <w:rPr>
          <w:color w:val="000000" w:themeColor="text1"/>
        </w:rPr>
        <w:pict>
          <v:line id="直线 14" o:spid="_x0000_s1034" o:spt="20" style="position:absolute;left:0pt;margin-left:89.95pt;margin-top:434.45pt;height:0.25pt;width:67pt;z-index:-251648000;mso-width-relative:page;mso-height-relative:page;" coordsize="21600,21600" o:gfxdata="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I/CsNcAAAALAQAADwAAAAAAAAABACAAAAAiAAAAZHJzL2Rvd25yZXYueG1sUEsBAhQA&#10;FAAAAAgAh07iQAUrUoXzAQAA1wMAAA4AAAAAAAAAAQAgAAAAJgEAAGRycy9lMm9Eb2MueG1sUEsF&#10;BgAAAAAGAAYAWQEAAIsFAAAAAA==&#10;">
            <v:path arrowok="t"/>
            <v:fill focussize="0,0"/>
            <v:stroke/>
            <v:imagedata o:title=""/>
            <o:lock v:ext="edit"/>
          </v:line>
        </w:pict>
      </w:r>
      <w:r>
        <w:rPr>
          <w:color w:val="000000" w:themeColor="text1"/>
        </w:rPr>
        <w:pict>
          <v:shape id="椭圆 59" o:spid="_x0000_s1041" o:spt="3" type="#_x0000_t3" style="position:absolute;left:0pt;margin-left:-17.75pt;margin-top:406.3pt;height:53.2pt;width:115.65pt;z-index:251675648;v-text-anchor:middle;mso-width-relative:page;mso-height-relative:page;" coordsize="21600,21600">
            <v:path/>
            <v:fill focussize="0,0"/>
            <v:stroke weight="0.25pt"/>
            <v:imagedata o:title=""/>
            <o:lock v:ext="edit"/>
            <v:textbox>
              <w:txbxContent>
                <w:p>
                  <w:pPr>
                    <w:jc w:val="center"/>
                  </w:pPr>
                  <w:r>
                    <w:rPr>
                      <w:rFonts w:hint="eastAsia"/>
                    </w:rPr>
                    <w:t>采购领导小组</w:t>
                  </w:r>
                </w:p>
                <w:p>
                  <w:pPr>
                    <w:jc w:val="center"/>
                  </w:pPr>
                  <w:r>
                    <w:rPr>
                      <w:rFonts w:hint="eastAsia"/>
                    </w:rPr>
                    <w:t>组长</w:t>
                  </w:r>
                </w:p>
              </w:txbxContent>
            </v:textbox>
          </v:shape>
        </w:pict>
      </w:r>
      <w:r>
        <w:rPr>
          <w:color w:val="000000" w:themeColor="text1"/>
        </w:rPr>
        <w:pict>
          <v:shape id="自选图形 7" o:spid="_x0000_s1036" o:spt="32" type="#_x0000_t32" style="position:absolute;left:0pt;margin-left:266.75pt;margin-top:376.4pt;height:0.85pt;width:68.8pt;z-index:-251645952;mso-width-relative:page;mso-height-relative:page;" filled="f" stroked="t" coordsize="21600,21600">
            <v:path arrowok="t"/>
            <v:fill on="f" focussize="0,0"/>
            <v:stroke color="#000000" endarrow="open"/>
            <v:imagedata o:title=""/>
            <o:lock v:ext="edit" aspectratio="f"/>
          </v:shape>
        </w:pict>
      </w:r>
      <w:r>
        <w:rPr>
          <w:color w:val="000000" w:themeColor="text1"/>
        </w:rPr>
        <w:pict>
          <v:line id="直线 19" o:spid="_x0000_s1033" o:spt="20" style="position:absolute;left:0pt;margin-left:91.4pt;margin-top:373.7pt;height:0.25pt;width:67pt;z-index:-251649024;mso-width-relative:page;mso-height-relative:page;" coordsize="21600,21600" o:gfxdata="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I/CsNcAAAALAQAADwAAAAAAAAABACAAAAAiAAAAZHJzL2Rvd25yZXYueG1sUEsBAhQA&#10;FAAAAAgAh07iQAUrUoXzAQAA1wMAAA4AAAAAAAAAAQAgAAAAJgEAAGRycy9lMm9Eb2MueG1sUEsF&#10;BgAAAAAGAAYAWQEAAIsFAAAAAA==&#10;">
            <v:path arrowok="t"/>
            <v:fill focussize="0,0"/>
            <v:stroke/>
            <v:imagedata o:title=""/>
            <o:lock v:ext="edit"/>
          </v:line>
        </w:pict>
      </w:r>
      <w:r>
        <w:rPr>
          <w:color w:val="000000" w:themeColor="text1"/>
        </w:rPr>
        <w:pict>
          <v:shape id="椭圆 56" o:spid="_x0000_s1045" o:spt="3" type="#_x0000_t3" style="position:absolute;left:0pt;margin-left:-17.55pt;margin-top:343.5pt;height:57.5pt;width:115.1pt;z-index:251679744;v-text-anchor:middle;mso-width-relative:page;mso-height-relative:page;" coordsize="21600,21600">
            <v:path/>
            <v:fill focussize="0,0"/>
            <v:stroke weight="0.25pt"/>
            <v:imagedata o:title=""/>
            <o:lock v:ext="edit"/>
            <v:textbox>
              <w:txbxContent>
                <w:p>
                  <w:pPr>
                    <w:jc w:val="center"/>
                  </w:pPr>
                  <w:r>
                    <w:rPr>
                      <w:rFonts w:hint="eastAsia"/>
                    </w:rPr>
                    <w:t>采购领导小组</w:t>
                  </w:r>
                </w:p>
                <w:p>
                  <w:pPr>
                    <w:jc w:val="center"/>
                  </w:pPr>
                  <w:r>
                    <w:rPr>
                      <w:rFonts w:hint="eastAsia"/>
                    </w:rPr>
                    <w:t>常务副组长</w:t>
                  </w:r>
                </w:p>
              </w:txbxContent>
            </v:textbox>
          </v:shape>
        </w:pict>
      </w:r>
      <w:r>
        <w:rPr>
          <w:color w:val="000000" w:themeColor="text1"/>
        </w:rPr>
        <w:pict>
          <v:rect id="矩形 19" o:spid="_x0000_s1062" o:spt="1" style="position:absolute;left:0pt;margin-left:143.1pt;margin-top:358.4pt;height:37.45pt;width:138.05pt;z-index:251697152;v-text-anchor:middle;mso-width-relative:page;mso-height-relative:page;" coordsize="21600,21600">
            <v:path/>
            <v:fill focussize="0,0"/>
            <v:stroke weight="0.25pt" joinstyle="round"/>
            <v:imagedata o:title=""/>
            <o:lock v:ext="edit"/>
            <v:textbox>
              <w:txbxContent>
                <w:p>
                  <w:pPr>
                    <w:ind w:firstLine="840" w:firstLineChars="400"/>
                  </w:pPr>
                  <w:r>
                    <w:rPr>
                      <w:rFonts w:hint="eastAsia"/>
                    </w:rPr>
                    <w:t>7、审批</w:t>
                  </w:r>
                </w:p>
                <w:p>
                  <w:pPr>
                    <w:jc w:val="center"/>
                  </w:pPr>
                  <w:r>
                    <w:rPr>
                      <w:rFonts w:hint="eastAsia"/>
                    </w:rPr>
                    <w:t>2万元至3万元（含）</w:t>
                  </w:r>
                </w:p>
              </w:txbxContent>
            </v:textbox>
          </v:rect>
        </w:pict>
      </w:r>
      <w:r>
        <w:rPr>
          <w:color w:val="000000" w:themeColor="text1"/>
        </w:rPr>
        <w:pict>
          <v:shape id="直接箭头连接符 51" o:spid="_x0000_s1043" o:spt="32" type="#_x0000_t32" style="position:absolute;left:0pt;flip:x;margin-left:210.25pt;margin-top:337.85pt;height:19.15pt;width:0.5pt;z-index:251677696;mso-width-relative:page;mso-height-relative:page;" filled="f" stroked="t" coordsize="21600,21600">
            <v:path arrowok="t"/>
            <v:fill on="f" focussize="0,0"/>
            <v:stroke color="#000000" endarrow="block"/>
            <v:imagedata o:title=""/>
            <o:lock v:ext="edit" aspectratio="f"/>
          </v:shape>
        </w:pict>
      </w:r>
      <w:r>
        <w:rPr>
          <w:color w:val="000000" w:themeColor="text1"/>
        </w:rPr>
        <w:pict>
          <v:rect id="矩形 50" o:spid="_x0000_s1042" o:spt="1" style="position:absolute;left:0pt;margin-left:336.15pt;margin-top:293.75pt;height:41.55pt;width:95.55pt;z-index:251676672;v-text-anchor:middle;mso-width-relative:page;mso-height-relative:page;" coordsize="21600,21600">
            <v:path/>
            <v:fill focussize="0,0"/>
            <v:stroke weight="0.25pt" joinstyle="round"/>
            <v:imagedata o:title=""/>
            <o:lock v:ext="edit"/>
            <v:textbox>
              <w:txbxContent>
                <w:p>
                  <w:r>
                    <w:rPr>
                      <w:rFonts w:hint="eastAsia"/>
                    </w:rPr>
                    <w:t>电子卖场（直购、竞价、团购）</w:t>
                  </w:r>
                </w:p>
              </w:txbxContent>
            </v:textbox>
          </v:rect>
        </w:pict>
      </w:r>
      <w:r>
        <w:rPr>
          <w:color w:val="000000" w:themeColor="text1"/>
        </w:rPr>
        <w:pict>
          <v:shape id="_x0000_s1035" o:spid="_x0000_s1035" o:spt="32" type="#_x0000_t32" style="position:absolute;left:0pt;margin-left:265.35pt;margin-top:313.55pt;height:0.85pt;width:68.8pt;z-index:-251646976;mso-width-relative:page;mso-height-relative:page;" filled="f" stroked="t" coordsize="21600,21600">
            <v:path arrowok="t"/>
            <v:fill on="f" focussize="0,0"/>
            <v:stroke color="#000000" endarrow="open"/>
            <v:imagedata o:title=""/>
            <o:lock v:ext="edit" aspectratio="f"/>
          </v:shape>
        </w:pict>
      </w:r>
      <w:r>
        <w:rPr>
          <w:color w:val="000000" w:themeColor="text1"/>
        </w:rPr>
        <w:pict>
          <v:rect id="矩形 16" o:spid="_x0000_s1061" o:spt="1" style="position:absolute;left:0pt;margin-left:142.9pt;margin-top:298.25pt;height:38.6pt;width:138.05pt;z-index:251696128;v-text-anchor:middle;mso-width-relative:page;mso-height-relative:page;" coordsize="21600,21600">
            <v:path/>
            <v:fill focussize="0,0"/>
            <v:stroke weight="0.25pt" joinstyle="round"/>
            <v:imagedata o:title=""/>
            <o:lock v:ext="edit"/>
            <v:textbox>
              <w:txbxContent>
                <w:p>
                  <w:pPr>
                    <w:ind w:firstLine="840" w:firstLineChars="400"/>
                  </w:pPr>
                  <w:r>
                    <w:rPr>
                      <w:rFonts w:hint="eastAsia"/>
                    </w:rPr>
                    <w:t>6、审批</w:t>
                  </w:r>
                </w:p>
                <w:p>
                  <w:pPr>
                    <w:jc w:val="center"/>
                  </w:pPr>
                  <w:r>
                    <w:rPr>
                      <w:rFonts w:hint="eastAsia"/>
                    </w:rPr>
                    <w:t>2000至2万元（含）</w:t>
                  </w:r>
                </w:p>
              </w:txbxContent>
            </v:textbox>
          </v:rect>
        </w:pict>
      </w:r>
      <w:r>
        <w:rPr>
          <w:color w:val="000000" w:themeColor="text1"/>
        </w:rPr>
        <w:pict>
          <v:line id="直线 23" o:spid="_x0000_s1032" o:spt="20" style="position:absolute;left:0pt;margin-left:88.65pt;margin-top:314pt;height:0.25pt;width:67pt;z-index:-251650048;mso-width-relative:page;mso-height-relative:page;" coordsize="21600,21600" o:gfxdata="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I/CsNcAAAALAQAADwAAAAAAAAABACAAAAAiAAAAZHJzL2Rvd25yZXYueG1sUEsBAhQA&#10;FAAAAAgAh07iQAUrUoXzAQAA1wMAAA4AAAAAAAAAAQAgAAAAJgEAAGRycy9lMm9Eb2MueG1sUEsF&#10;BgAAAAAGAAYAWQEAAIsFAAAAAA==&#10;">
            <v:path arrowok="t"/>
            <v:fill focussize="0,0"/>
            <v:stroke/>
            <v:imagedata o:title=""/>
            <o:lock v:ext="edit"/>
          </v:line>
        </w:pict>
      </w:r>
      <w:r>
        <w:rPr>
          <w:color w:val="000000" w:themeColor="text1"/>
        </w:rPr>
        <w:pict>
          <v:shape id="椭圆 55" o:spid="_x0000_s1046" o:spt="3" type="#_x0000_t3" style="position:absolute;left:0pt;margin-left:-17.35pt;margin-top:287.95pt;height:52.8pt;width:113.4pt;z-index:251680768;v-text-anchor:middle;mso-width-relative:page;mso-height-relative:page;" coordsize="21600,21600">
            <v:path/>
            <v:fill focussize="0,0"/>
            <v:stroke weight="0.25pt"/>
            <v:imagedata o:title=""/>
            <o:lock v:ext="edit"/>
            <v:textbox>
              <w:txbxContent>
                <w:p>
                  <w:pPr>
                    <w:jc w:val="center"/>
                  </w:pPr>
                  <w:r>
                    <w:rPr>
                      <w:rFonts w:hint="eastAsia"/>
                    </w:rPr>
                    <w:t>分管财务</w:t>
                  </w:r>
                </w:p>
                <w:p>
                  <w:pPr>
                    <w:jc w:val="center"/>
                  </w:pPr>
                  <w:r>
                    <w:rPr>
                      <w:rFonts w:hint="eastAsia"/>
                    </w:rPr>
                    <w:t>院领导</w:t>
                  </w:r>
                </w:p>
              </w:txbxContent>
            </v:textbox>
          </v:shape>
        </w:pict>
      </w:r>
      <w:r>
        <w:rPr>
          <w:color w:val="000000" w:themeColor="text1"/>
        </w:rPr>
        <w:pict>
          <v:shape id="直接箭头连接符 13" o:spid="_x0000_s1059" o:spt="32" type="#_x0000_t32" style="position:absolute;left:0pt;flip:x;margin-left:212pt;margin-top:224.45pt;height:16.05pt;width:0.45pt;z-index:251694080;mso-width-relative:page;mso-height-relative:page;" filled="f" stroked="t" coordsize="21600,21600">
            <v:path arrowok="t"/>
            <v:fill on="f" focussize="0,0"/>
            <v:stroke weight="0.25pt" color="#000000" endarrow="block"/>
            <v:imagedata o:title=""/>
            <o:lock v:ext="edit" aspectratio="f"/>
            <v:shadow on="t" obscured="f" color="#000000" opacity="22937f" offset="0pt,1.81102362204724pt" offset2="0pt,0pt" origin="0f,32768f" matrix="65536f,0f,0f,65536f,0,0"/>
          </v:shape>
        </w:pict>
      </w:r>
      <w:r>
        <w:rPr>
          <w:color w:val="000000" w:themeColor="text1"/>
        </w:rPr>
        <w:pict>
          <v:shape id="自选图形 27" o:spid="_x0000_s1030" o:spt="32" type="#_x0000_t32" style="position:absolute;left:0pt;margin-left:210.9pt;margin-top:283.6pt;height:11.6pt;width:0.25pt;z-index:-251652096;mso-width-relative:page;mso-height-relative:page;" filled="f" stroked="t" coordsize="21600,21600">
            <v:path arrowok="t"/>
            <v:fill on="f" focussize="0,0"/>
            <v:stroke color="#000000" endarrow="block"/>
            <v:imagedata o:title=""/>
            <o:lock v:ext="edit" aspectratio="f"/>
          </v:shape>
        </w:pict>
      </w:r>
      <w:r>
        <w:rPr>
          <w:color w:val="000000" w:themeColor="text1"/>
        </w:rPr>
        <w:pict>
          <v:rect id="矩形 47" o:spid="_x0000_s1068" o:spt="1" style="position:absolute;left:0pt;margin-left:336.65pt;margin-top:240.9pt;height:33.25pt;width:95.55pt;z-index:251703296;v-text-anchor:middle;mso-width-relative:page;mso-height-relative:page;" coordsize="21600,21600">
            <v:path/>
            <v:fill focussize="0,0"/>
            <v:stroke weight="0.25pt" joinstyle="round"/>
            <v:imagedata o:title=""/>
            <o:lock v:ext="edit"/>
            <v:textbox>
              <w:txbxContent>
                <w:p>
                  <w:r>
                    <w:rPr>
                      <w:rFonts w:hint="eastAsia"/>
                    </w:rPr>
                    <w:t>电子卖场（直购）</w:t>
                  </w:r>
                </w:p>
              </w:txbxContent>
            </v:textbox>
          </v:rect>
        </w:pict>
      </w:r>
      <w:r>
        <w:rPr>
          <w:color w:val="000000" w:themeColor="text1"/>
        </w:rPr>
        <w:pict>
          <v:shape id="直接箭头连接符 43" o:spid="_x0000_s1028" o:spt="32" type="#_x0000_t32" style="position:absolute;left:0pt;flip:x y;margin-left:93.15pt;margin-top:264.4pt;height:0.6pt;width:67.15pt;z-index:-251654144;mso-width-relative:page;mso-height-relative:page;" filled="f" stroked="t" coordsize="21600,21600">
            <v:path arrowok="t"/>
            <v:fill on="f" focussize="0,0"/>
            <v:stroke color="#000000" endarrow="block"/>
            <v:imagedata o:title=""/>
            <o:lock v:ext="edit" aspectratio="f"/>
          </v:shape>
        </w:pict>
      </w:r>
      <w:r>
        <w:rPr>
          <w:color w:val="000000" w:themeColor="text1"/>
        </w:rPr>
        <w:pict>
          <v:shape id="文本框 44" o:spid="_x0000_s1072" o:spt="202" type="#_x0000_t202" style="position:absolute;left:0pt;margin-left:97.9pt;margin-top:242.35pt;height:20.5pt;width:50.05pt;z-index:251707392;mso-width-relative:page;mso-height-relative:page;" stroked="t" coordsize="21600,21600" o:gfxdata="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kP1NnZAAAACwEAAA8AAAAAAAAAAQAgAAAAIgAAAGRycy9kb3ducmV2LnhtbFBLAQIUABQAAAAI&#10;AIdO4kBpK2LmXgIAAMUEAAAOAAAAAAAAAAEAIAAAACgBAABkcnMvZTJvRG9jLnhtbFBLBQYAAAAA&#10;BgAGAFkBAAD4BQAAAAA=&#10;">
            <v:path/>
            <v:fill focussize="0,0"/>
            <v:stroke weight="0.5pt" color="#FFFFFF" joinstyle="round"/>
            <v:imagedata o:title=""/>
            <o:lock v:ext="edit"/>
            <v:textbox>
              <w:txbxContent>
                <w:p>
                  <w:r>
                    <w:rPr>
                      <w:rFonts w:hint="eastAsia"/>
                    </w:rPr>
                    <w:t>以下</w:t>
                  </w:r>
                </w:p>
              </w:txbxContent>
            </v:textbox>
          </v:shape>
        </w:pict>
      </w:r>
      <w:r>
        <w:rPr>
          <w:color w:val="000000" w:themeColor="text1"/>
        </w:rPr>
        <w:pict>
          <v:shape id="椭圆 45" o:spid="_x0000_s1044" o:spt="3" type="#_x0000_t3" style="position:absolute;left:0pt;margin-left:-16.05pt;margin-top:247.25pt;height:38.3pt;width:109.4pt;z-index:251678720;v-text-anchor:middle;mso-width-relative:page;mso-height-relative:page;" coordsize="21600,21600">
            <v:path/>
            <v:fill focussize="0,0"/>
            <v:stroke weight="0.25pt"/>
            <v:imagedata o:title=""/>
            <o:lock v:ext="edit"/>
            <v:textbox>
              <w:txbxContent>
                <w:p>
                  <w:pPr>
                    <w:jc w:val="center"/>
                  </w:pPr>
                  <w:r>
                    <w:rPr>
                      <w:rFonts w:hint="eastAsia"/>
                    </w:rPr>
                    <w:t>采购办主任</w:t>
                  </w:r>
                </w:p>
              </w:txbxContent>
            </v:textbox>
          </v:shape>
        </w:pict>
      </w:r>
      <w:r>
        <w:rPr>
          <w:color w:val="000000" w:themeColor="text1"/>
        </w:rPr>
        <w:pict>
          <v:shape id="菱形 14" o:spid="_x0000_s1060" o:spt="4" type="#_x0000_t4" style="position:absolute;left:0pt;margin-left:156.5pt;margin-top:241pt;height:42pt;width:110.5pt;z-index:251695104;v-text-anchor:middle;mso-width-relative:page;mso-height-relative:page;" coordsize="21600,21600">
            <v:path/>
            <v:fill focussize="0,0"/>
            <v:stroke weight="0.25pt" joinstyle="round" endarrow="open"/>
            <v:imagedata o:title=""/>
            <o:lock v:ext="edit"/>
            <v:textbox>
              <w:txbxContent>
                <w:p>
                  <w:pPr>
                    <w:jc w:val="center"/>
                  </w:pPr>
                  <w:r>
                    <w:rPr>
                      <w:rFonts w:hint="eastAsia"/>
                    </w:rPr>
                    <w:t>2000元</w:t>
                  </w:r>
                </w:p>
              </w:txbxContent>
            </v:textbox>
          </v:shape>
        </w:pict>
      </w:r>
      <w:r>
        <w:rPr>
          <w:color w:val="000000" w:themeColor="text1"/>
        </w:rPr>
        <w:pict>
          <v:line id="直线 33" o:spid="_x0000_s1031" o:spt="20" style="position:absolute;left:0pt;margin-left:84.3pt;margin-top:211.95pt;height:0.25pt;width:67pt;z-index:-251651072;mso-width-relative:page;mso-height-relative:page;" coordsize="21600,21600" o:gfxdata="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I/CsNcAAAALAQAADwAAAAAAAAABACAAAAAiAAAAZHJzL2Rvd25yZXYueG1sUEsBAhQA&#10;FAAAAAgAh07iQAUrUoXzAQAA1wMAAA4AAAAAAAAAAQAgAAAAJgEAAGRycy9lMm9Eb2MueG1sUEsF&#10;BgAAAAAGAAYAWQEAAIsFAAAAAA==&#10;">
            <v:path arrowok="t"/>
            <v:fill focussize="0,0"/>
            <v:stroke/>
            <v:imagedata o:title=""/>
            <o:lock v:ext="edit"/>
          </v:line>
        </w:pict>
      </w:r>
      <w:r>
        <w:rPr>
          <w:color w:val="000000" w:themeColor="text1"/>
        </w:rPr>
        <w:pict>
          <v:shape id="椭圆 41" o:spid="_x0000_s1071" o:spt="3" type="#_x0000_t3" style="position:absolute;left:0pt;margin-left:-18.7pt;margin-top:190.5pt;height:52.95pt;width:105.45pt;z-index:251706368;v-text-anchor:middle;mso-width-relative:page;mso-height-relative:page;" coordsize="21600,21600">
            <v:path/>
            <v:fill focussize="0,0"/>
            <v:stroke weight="0.25pt"/>
            <v:imagedata o:title=""/>
            <o:lock v:ext="edit"/>
            <v:textbox>
              <w:txbxContent>
                <w:p>
                  <w:pPr>
                    <w:jc w:val="center"/>
                  </w:pPr>
                  <w:r>
                    <w:rPr>
                      <w:rFonts w:hint="eastAsia"/>
                    </w:rPr>
                    <w:t>部门分管院领导</w:t>
                  </w:r>
                </w:p>
              </w:txbxContent>
            </v:textbox>
          </v:shape>
        </w:pict>
      </w:r>
      <w:r>
        <w:rPr>
          <w:color w:val="000000" w:themeColor="text1"/>
        </w:rPr>
        <w:pict>
          <v:line id="直接连接符 40" o:spid="_x0000_s1047" o:spt="20" style="position:absolute;left:0pt;margin-left:79.15pt;margin-top:164.75pt;height:0.25pt;width:67pt;z-index:251681792;mso-width-relative:page;mso-height-relative:page;" coordsize="21600,21600" o:gfxdata="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I/CsNcAAAALAQAADwAAAAAAAAABACAAAAAiAAAAZHJzL2Rvd25yZXYueG1sUEsBAhQA&#10;FAAAAAgAh07iQAUrUoXzAQAA1wMAAA4AAAAAAAAAAQAgAAAAJgEAAGRycy9lMm9Eb2MueG1sUEsF&#10;BgAAAAAGAAYAWQEAAIsFAAAAAA==&#10;">
            <v:path arrowok="t"/>
            <v:fill focussize="0,0"/>
            <v:stroke/>
            <v:imagedata o:title=""/>
            <o:lock v:ext="edit"/>
          </v:line>
        </w:pict>
      </w:r>
      <w:r>
        <w:rPr>
          <w:color w:val="000000" w:themeColor="text1"/>
        </w:rPr>
        <w:pict>
          <v:shape id="椭圆 39" o:spid="_x0000_s1069" o:spt="3" type="#_x0000_t3" style="position:absolute;left:0pt;margin-left:-19.85pt;margin-top:155.35pt;height:33.35pt;width:105.45pt;z-index:251704320;v-text-anchor:middle;mso-width-relative:page;mso-height-relative:page;" coordsize="21600,21600">
            <v:path/>
            <v:fill focussize="0,0"/>
            <v:stroke weight="0.25pt"/>
            <v:imagedata o:title=""/>
            <o:lock v:ext="edit"/>
            <v:textbox>
              <w:txbxContent>
                <w:p>
                  <w:pPr>
                    <w:jc w:val="center"/>
                  </w:pPr>
                  <w:r>
                    <w:rPr>
                      <w:rFonts w:hint="eastAsia"/>
                    </w:rPr>
                    <w:t>采购办</w:t>
                  </w:r>
                </w:p>
              </w:txbxContent>
            </v:textbox>
          </v:shape>
        </w:pict>
      </w:r>
      <w:r>
        <w:rPr>
          <w:color w:val="000000" w:themeColor="text1"/>
        </w:rPr>
        <w:pict>
          <v:shape id="椭圆 37" o:spid="_x0000_s1067" o:spt="3" type="#_x0000_t3" style="position:absolute;left:0pt;margin-left:-21.5pt;margin-top:111.15pt;height:36.85pt;width:105.45pt;z-index:251702272;v-text-anchor:middle;mso-width-relative:page;mso-height-relative:page;" coordsize="21600,21600">
            <v:path/>
            <v:fill focussize="0,0"/>
            <v:stroke weight="0.25pt"/>
            <v:imagedata o:title=""/>
            <o:lock v:ext="edit"/>
            <v:textbox>
              <w:txbxContent>
                <w:p>
                  <w:pPr>
                    <w:spacing w:line="480" w:lineRule="auto"/>
                    <w:ind w:firstLine="210" w:firstLineChars="100"/>
                  </w:pPr>
                  <w:r>
                    <w:rPr>
                      <w:rFonts w:hint="eastAsia"/>
                    </w:rPr>
                    <w:t>财务部门</w:t>
                  </w:r>
                </w:p>
                <w:p>
                  <w:pPr>
                    <w:jc w:val="center"/>
                  </w:pPr>
                </w:p>
              </w:txbxContent>
            </v:textbox>
          </v:shape>
        </w:pict>
      </w:r>
      <w:r>
        <w:rPr>
          <w:color w:val="000000" w:themeColor="text1"/>
        </w:rPr>
        <w:pict>
          <v:rect id="矩形 12" o:spid="_x0000_s1058" o:spt="1" style="position:absolute;left:0pt;margin-left:145.55pt;margin-top:198.35pt;height:26.6pt;width:138.05pt;z-index:251693056;v-text-anchor:middle;mso-width-relative:page;mso-height-relative:page;" coordsize="21600,21600">
            <v:path/>
            <v:fill focussize="0,0"/>
            <v:stroke weight="0.25pt" joinstyle="round"/>
            <v:imagedata o:title=""/>
            <o:lock v:ext="edit"/>
            <v:textbox>
              <w:txbxContent>
                <w:p>
                  <w:pPr>
                    <w:jc w:val="center"/>
                  </w:pPr>
                  <w:r>
                    <w:rPr>
                      <w:rFonts w:hint="eastAsia"/>
                    </w:rPr>
                    <w:t>5、审批</w:t>
                  </w:r>
                </w:p>
              </w:txbxContent>
            </v:textbox>
          </v:rect>
        </w:pict>
      </w:r>
      <w:r>
        <w:rPr>
          <w:color w:val="000000" w:themeColor="text1"/>
        </w:rPr>
        <w:pict>
          <v:shape id="自选图形 36" o:spid="_x0000_s1076" o:spt="32" type="#_x0000_t32" style="position:absolute;left:0pt;margin-left:212.75pt;margin-top:179.3pt;height:15pt;width:0.55pt;z-index:251711488;mso-width-relative:page;mso-height-relative:page;" filled="f" stroked="t" coordsize="21600,21600">
            <v:path arrowok="t"/>
            <v:fill on="f" focussize="0,0"/>
            <v:stroke weight="0.25pt" color="#000000" endarrow="open"/>
            <v:imagedata o:title=""/>
            <o:lock v:ext="edit" aspectratio="f"/>
            <v:shadow on="t" obscured="f" color="#000000" opacity="22937f" offset="0pt,1.81102362204724pt" offset2="0pt,0pt" origin="0f,32768f" matrix="65536f,0f,0f,65536f,0,0"/>
          </v:shape>
        </w:pict>
      </w:r>
      <w:r>
        <w:rPr>
          <w:color w:val="000000" w:themeColor="text1"/>
        </w:rPr>
        <w:pict>
          <v:rect id="矩形 9" o:spid="_x0000_s1057" o:spt="1" style="position:absolute;left:0pt;margin-left:143.05pt;margin-top:147pt;height:31.05pt;width:138.05pt;z-index:251692032;v-text-anchor:middle;mso-width-relative:page;mso-height-relative:page;" coordsize="21600,21600">
            <v:path/>
            <v:fill focussize="0,0"/>
            <v:stroke weight="0.25pt" joinstyle="round"/>
            <v:imagedata o:title=""/>
            <o:lock v:ext="edit"/>
            <v:textbox>
              <w:txbxContent>
                <w:p>
                  <w:pPr>
                    <w:jc w:val="center"/>
                  </w:pPr>
                  <w:r>
                    <w:rPr>
                      <w:rFonts w:hint="eastAsia"/>
                    </w:rPr>
                    <w:t>4、审核</w:t>
                  </w:r>
                </w:p>
              </w:txbxContent>
            </v:textbox>
          </v:rect>
        </w:pict>
      </w:r>
      <w:r>
        <w:rPr>
          <w:color w:val="000000" w:themeColor="text1"/>
        </w:rPr>
        <w:pict>
          <v:shape id="直接箭头连接符 10" o:spid="_x0000_s1056" o:spt="32" type="#_x0000_t32" style="position:absolute;left:0pt;margin-left:212.85pt;margin-top:125.8pt;height:17.5pt;width:0.05pt;z-index:251691008;mso-width-relative:page;mso-height-relative:page;" filled="f" stroked="t" coordsize="21600,21600">
            <v:path arrowok="t"/>
            <v:fill on="f" focussize="0,0"/>
            <v:stroke weight="0.25pt" color="#000000" endarrow="open"/>
            <v:imagedata o:title=""/>
            <o:lock v:ext="edit" aspectratio="f"/>
            <v:shadow on="t" obscured="f" color="#000000" opacity="22937f" offset="0pt,1.81102362204724pt" offset2="0pt,0pt" origin="0f,32768f" matrix="65536f,0f,0f,65536f,0,0"/>
          </v:shape>
        </w:pict>
      </w:r>
      <w:r>
        <w:rPr>
          <w:color w:val="000000" w:themeColor="text1"/>
        </w:rPr>
        <w:pict>
          <v:line id="直接连接符 38" o:spid="_x0000_s1027" o:spt="20" style="position:absolute;left:0pt;margin-left:63.15pt;margin-top:119.85pt;height:0.25pt;width:67pt;z-index:-251655168;mso-width-relative:page;mso-height-relative:page;" coordsize="21600,21600" o:gfxdata="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5jFR1gAAAAsBAAAPAAAAAAAAAAEAIAAAACIAAABkcnMvZG93bnJldi54bWxQSwECFAAU&#10;AAAACACHTuJAoMLZT/MBAADXAwAADgAAAAAAAAABACAAAAAlAQAAZHJzL2Uyb0RvYy54bWxQSwUG&#10;AAAAAAYABgBZAQAAigUAAAAA&#10;">
            <v:path arrowok="t"/>
            <v:fill focussize="0,0"/>
            <v:stroke/>
            <v:imagedata o:title=""/>
            <o:lock v:ext="edit"/>
          </v:line>
        </w:pict>
      </w:r>
      <w:r>
        <w:rPr>
          <w:color w:val="000000" w:themeColor="text1"/>
        </w:rPr>
        <w:pict>
          <v:rect id="矩形 8" o:spid="_x0000_s1055" o:spt="1" style="position:absolute;left:0pt;margin-left:117.8pt;margin-top:101.7pt;height:23pt;width:212.05pt;z-index:251689984;v-text-anchor:middle;mso-width-relative:page;mso-height-relative:page;" coordsize="21600,21600">
            <v:path/>
            <v:fill focussize="0,0"/>
            <v:stroke weight="0.25pt" joinstyle="round"/>
            <v:imagedata o:title=""/>
            <o:lock v:ext="edit"/>
            <v:textbox>
              <w:txbxContent>
                <w:p>
                  <w:r>
                    <w:rPr>
                      <w:rFonts w:hint="eastAsia"/>
                    </w:rPr>
                    <w:t>3、提出可行性意见，明确资金使用来源</w:t>
                  </w:r>
                </w:p>
              </w:txbxContent>
            </v:textbox>
          </v:rect>
        </w:pict>
      </w:r>
      <w:r>
        <w:rPr>
          <w:color w:val="000000" w:themeColor="text1"/>
        </w:rPr>
        <w:pict>
          <v:shape id="直接箭头连接符 7" o:spid="_x0000_s1054" o:spt="32" type="#_x0000_t32" style="position:absolute;left:0pt;flip:x;margin-left:212.9pt;margin-top:89.1pt;height:12.25pt;width:0.45pt;z-index:251688960;mso-width-relative:page;mso-height-relative:page;" filled="f" stroked="t" coordsize="21600,21600">
            <v:path arrowok="t"/>
            <v:fill on="f" focussize="0,0"/>
            <v:stroke weight="0.25pt" color="#000000" endarrow="open"/>
            <v:imagedata o:title=""/>
            <o:lock v:ext="edit" aspectratio="f"/>
            <v:shadow on="t" obscured="f" color="#000000" opacity="22937f" offset="0pt,1.81102362204724pt" offset2="0pt,0pt" origin="0f,32768f" matrix="65536f,0f,0f,65536f,0,0"/>
          </v:shape>
        </w:pict>
      </w:r>
      <w:r>
        <w:rPr>
          <w:color w:val="000000" w:themeColor="text1"/>
        </w:rPr>
        <w:pict>
          <v:line id="直接连接符 36" o:spid="_x0000_s1048" o:spt="20" style="position:absolute;left:0pt;margin-left:62.65pt;margin-top:77.7pt;height:0.25pt;width:67pt;z-index:251682816;mso-width-relative:page;mso-height-relative:page;" coordsize="21600,21600" o:gfxdata="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2EF/NcAAAALAQAADwAAAAAAAAABACAAAAAiAAAAZHJzL2Rvd25yZXYueG1sUEsBAhQA&#10;FAAAAAgAh07iQECq9SXzAQAA1wMAAA4AAAAAAAAAAQAgAAAAJgEAAGRycy9lMm9Eb2MueG1sUEsF&#10;BgAAAAAGAAYAWQEAAIsFAAAAAA==&#10;">
            <v:path arrowok="t"/>
            <v:fill focussize="0,0"/>
            <v:stroke/>
            <v:imagedata o:title=""/>
            <o:lock v:ext="edit"/>
          </v:line>
        </w:pict>
      </w:r>
      <w:r>
        <w:rPr>
          <w:color w:val="000000" w:themeColor="text1"/>
        </w:rPr>
        <w:pict>
          <v:shape id="椭圆 35" o:spid="_x0000_s1066" o:spt="3" type="#_x0000_t3" style="position:absolute;left:0pt;margin-left:-24.5pt;margin-top:54.45pt;height:50pt;width:105.45pt;z-index:251701248;v-text-anchor:middle;mso-width-relative:page;mso-height-relative:page;" coordsize="21600,21600">
            <v:path/>
            <v:fill focussize="0,0"/>
            <v:stroke weight="0.25pt"/>
            <v:imagedata o:title=""/>
            <o:lock v:ext="edit"/>
            <v:textbox>
              <w:txbxContent>
                <w:p>
                  <w:pPr>
                    <w:jc w:val="center"/>
                  </w:pPr>
                  <w:r>
                    <w:rPr>
                      <w:rFonts w:hint="eastAsia"/>
                    </w:rPr>
                    <w:t>采购办、项目申请部门</w:t>
                  </w:r>
                </w:p>
                <w:p>
                  <w:pPr>
                    <w:jc w:val="center"/>
                  </w:pPr>
                  <w:r>
                    <w:rPr>
                      <w:rFonts w:hint="eastAsia"/>
                    </w:rPr>
                    <w:t>部门</w:t>
                  </w:r>
                </w:p>
                <w:p>
                  <w:pPr>
                    <w:jc w:val="center"/>
                  </w:pPr>
                </w:p>
              </w:txbxContent>
            </v:textbox>
          </v:shape>
        </w:pict>
      </w:r>
      <w:r>
        <w:rPr>
          <w:color w:val="000000" w:themeColor="text1"/>
        </w:rPr>
        <w:pict>
          <v:rect id="矩形 6" o:spid="_x0000_s1053" o:spt="1" style="position:absolute;left:0pt;margin-left:118.1pt;margin-top:65.5pt;height:23pt;width:212.05pt;z-index:251687936;v-text-anchor:middle;mso-width-relative:page;mso-height-relative:page;" coordsize="21600,21600">
            <v:path/>
            <v:fill focussize="0,0"/>
            <v:stroke weight="0.25pt" joinstyle="round"/>
            <v:imagedata o:title=""/>
            <o:lock v:ext="edit"/>
            <v:textbox>
              <w:txbxContent>
                <w:p>
                  <w:r>
                    <w:rPr>
                      <w:rFonts w:hint="eastAsia"/>
                    </w:rPr>
                    <w:t>2、进行项目调研和预算评估</w:t>
                  </w:r>
                </w:p>
              </w:txbxContent>
            </v:textbox>
          </v:rect>
        </w:pict>
      </w:r>
      <w:r>
        <w:rPr>
          <w:color w:val="000000" w:themeColor="text1"/>
        </w:rPr>
        <w:pict>
          <v:shape id="椭圆 34" o:spid="_x0000_s1065" o:spt="3" type="#_x0000_t3" style="position:absolute;left:0pt;margin-left:-23.7pt;margin-top:5.45pt;height:46.2pt;width:105.45pt;z-index:251700224;v-text-anchor:middle;mso-width-relative:page;mso-height-relative:page;" coordsize="21600,21600">
            <v:path/>
            <v:fill focussize="0,0"/>
            <v:stroke weight="0.25pt"/>
            <v:imagedata o:title=""/>
            <o:lock v:ext="edit"/>
            <v:textbox>
              <w:txbxContent>
                <w:p>
                  <w:pPr>
                    <w:jc w:val="center"/>
                  </w:pPr>
                  <w:r>
                    <w:rPr>
                      <w:rFonts w:hint="eastAsia"/>
                    </w:rPr>
                    <w:t>项目申请</w:t>
                  </w:r>
                </w:p>
                <w:p>
                  <w:pPr>
                    <w:jc w:val="center"/>
                  </w:pPr>
                  <w:r>
                    <w:rPr>
                      <w:rFonts w:hint="eastAsia"/>
                    </w:rPr>
                    <w:t>部门</w:t>
                  </w:r>
                </w:p>
                <w:p>
                  <w:pPr>
                    <w:jc w:val="center"/>
                  </w:pPr>
                </w:p>
              </w:txbxContent>
            </v:textbox>
          </v:shape>
        </w:pict>
      </w:r>
      <w:r>
        <w:rPr>
          <w:color w:val="000000" w:themeColor="text1"/>
        </w:rPr>
        <w:pict>
          <v:line id="直线 45" o:spid="_x0000_s1029" o:spt="20" style="position:absolute;left:0pt;margin-left:64.9pt;margin-top:35.2pt;height:0.25pt;width:67pt;z-index:-251653120;mso-width-relative:page;mso-height-relative:page;" coordsize="21600,21600" o:gfxdata="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2EF/NcAAAALAQAADwAAAAAAAAABACAAAAAiAAAAZHJzL2Rvd25yZXYueG1sUEsBAhQA&#10;FAAAAAgAh07iQECq9SXzAQAA1wMAAA4AAAAAAAAAAQAgAAAAJgEAAGRycy9lMm9Eb2MueG1sUEsF&#10;BgAAAAAGAAYAWQEAAIsFAAAAAA==&#10;">
            <v:path arrowok="t"/>
            <v:fill focussize="0,0"/>
            <v:stroke/>
            <v:imagedata o:title=""/>
            <o:lock v:ext="edit"/>
          </v:line>
        </w:pict>
      </w:r>
      <w:r>
        <w:rPr>
          <w:color w:val="000000" w:themeColor="text1"/>
        </w:rPr>
        <w:pict>
          <v:shape id="直接箭头连接符 5" o:spid="_x0000_s1052" o:spt="32" type="#_x0000_t32" style="position:absolute;left:0pt;flip:x;margin-left:213.45pt;margin-top:46.95pt;height:17pt;width:0.3pt;z-index:251686912;mso-width-relative:page;mso-height-relative:page;" filled="f" stroked="t" coordsize="21600,21600">
            <v:path arrowok="t"/>
            <v:fill on="f" focussize="0,0"/>
            <v:stroke weight="0.25pt" color="#000000" endarrow="open"/>
            <v:imagedata o:title=""/>
            <o:lock v:ext="edit" aspectratio="f"/>
            <v:shadow on="t" obscured="f" color="#000000" opacity="22937f" offset="0pt,1.81102362204724pt" offset2="0pt,0pt" origin="0f,32768f" matrix="65536f,0f,0f,65536f,0,0"/>
          </v:shape>
        </w:pict>
      </w:r>
      <w:r>
        <w:rPr>
          <w:color w:val="000000" w:themeColor="text1"/>
        </w:rPr>
        <w:pict>
          <v:rect id="矩形 4" o:spid="_x0000_s1051" o:spt="1" style="position:absolute;left:0pt;margin-left:118.15pt;margin-top:23.85pt;height:21.85pt;width:209.3pt;z-index:251685888;v-text-anchor:middle;mso-width-relative:page;mso-height-relative:page;" coordsize="21600,21600">
            <v:path/>
            <v:fill focussize="0,0"/>
            <v:stroke weight="0.25pt" joinstyle="round"/>
            <v:imagedata o:title=""/>
            <o:lock v:ext="edit"/>
            <v:textbox>
              <w:txbxContent>
                <w:p>
                  <w:r>
                    <w:rPr>
                      <w:rFonts w:hint="eastAsia"/>
                    </w:rPr>
                    <w:t>1、提出货物、服务和工程相关采购申请</w:t>
                  </w:r>
                </w:p>
              </w:txbxContent>
            </v:textbox>
          </v:rect>
        </w:pict>
      </w:r>
      <w:r>
        <w:rPr>
          <w:color w:val="000000" w:themeColor="text1"/>
        </w:rPr>
        <w:pict>
          <v:shape id="自选图形 12" o:spid="_x0000_s1078" o:spt="32" type="#_x0000_t32" style="position:absolute;left:0pt;margin-left:267pt;margin-top:262pt;height:0.85pt;width:68.8pt;z-index:251713536;mso-width-relative:page;mso-height-relative:page;" filled="f" stroked="t" coordsize="21600,21600">
            <v:path arrowok="t"/>
            <v:fill on="f" focussize="0,0"/>
            <v:stroke color="#000000" endarrow="open"/>
            <v:imagedata o:title=""/>
            <o:lock v:ext="edit" aspectratio="f"/>
          </v:shape>
        </w:pict>
      </w:r>
      <w:r>
        <w:rPr>
          <w:color w:val="000000" w:themeColor="text1"/>
        </w:rPr>
        <w:br w:type="textWrapping"/>
      </w:r>
      <w:r>
        <w:rPr>
          <w:color w:val="000000" w:themeColor="text1"/>
        </w:rPr>
        <w:pict>
          <v:shape id="直接箭头连接符 3" o:spid="_x0000_s1050" o:spt="32" type="#_x0000_t32" style="position:absolute;left:0pt;flip:x;margin-left:213.9pt;margin-top:11.7pt;height:11.5pt;width:0.2pt;z-index:251684864;mso-width-relative:page;mso-height-relative:page;" filled="f" stroked="t" coordsize="21600,21600">
            <v:path arrowok="t"/>
            <v:fill on="f" focussize="0,0"/>
            <v:stroke weight="0.25pt" color="#000000" endarrow="open"/>
            <v:imagedata o:title=""/>
            <o:lock v:ext="edit" aspectratio="f"/>
            <v:shadow on="t" obscured="f" color="#000000" opacity="22937f" offset="0pt,1.81102362204724pt" offset2="0pt,0pt" origin="0f,32768f" matrix="65536f,0f,0f,65536f,0,0"/>
          </v:shape>
        </w:pict>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p>
    <w:p>
      <w:pPr>
        <w:rPr>
          <w:color w:val="000000" w:themeColor="text1"/>
        </w:rPr>
      </w:pPr>
      <w:r>
        <w:rPr>
          <w:color w:val="000000" w:themeColor="text1"/>
        </w:rPr>
        <w:pict>
          <v:shape id="Object 6" o:spid="_x0000_s1086" o:spt="75" type="#_x0000_t75" style="position:absolute;left:0pt;margin-left:12pt;margin-top:57.65pt;height:632.8pt;width:392.3pt;mso-wrap-distance-bottom:0pt;mso-wrap-distance-left:9pt;mso-wrap-distance-right:9pt;mso-wrap-distance-top:0pt;z-index:251721728;mso-width-relative:page;mso-height-relative:page;" filled="f" o:preferrelative="t" stroked="f" coordsize="21600,21600">
            <v:path/>
            <v:fill on="f" focussize="0,0"/>
            <v:stroke on="f" joinstyle="miter"/>
            <v:imagedata r:id="rId10" o:title=""/>
            <o:lock v:ext="edit" aspectratio="t"/>
            <w10:wrap type="square" side="right"/>
          </v:shape>
        </w:pict>
      </w:r>
      <w:r>
        <w:rPr>
          <w:rFonts w:hint="eastAsia"/>
          <w:color w:val="000000" w:themeColor="text1"/>
        </w:rPr>
        <w:t>集中采购实施流程图</w:t>
      </w:r>
    </w:p>
    <w:p>
      <w:pPr>
        <w:widowControl/>
        <w:jc w:val="center"/>
        <w:rPr>
          <w:rFonts w:ascii="方正小标宋简体" w:hAnsi="CESI小标宋-GB2312" w:eastAsia="方正小标宋简体" w:cs="CESI小标宋-GB2312"/>
          <w:bCs/>
          <w:sz w:val="44"/>
          <w:szCs w:val="44"/>
        </w:rPr>
      </w:pPr>
      <w:r>
        <w:rPr>
          <w:rFonts w:ascii="方正小标宋简体" w:hAnsi="CESI小标宋-GB2312" w:eastAsia="方正小标宋简体" w:cs="CESI小标宋-GB2312"/>
          <w:bCs/>
          <w:sz w:val="44"/>
          <w:szCs w:val="44"/>
        </w:rPr>
        <w:br w:type="page"/>
      </w:r>
      <w:r>
        <w:rPr>
          <w:rFonts w:hint="eastAsia" w:ascii="方正小标宋简体" w:hAnsi="CESI小标宋-GB2312" w:eastAsia="方正小标宋简体" w:cs="CESI小标宋-GB2312"/>
          <w:bCs/>
          <w:sz w:val="44"/>
          <w:szCs w:val="44"/>
        </w:rPr>
        <w:t>湖南省地方志编纂院固定资产管理制度</w:t>
      </w:r>
    </w:p>
    <w:p>
      <w:pPr>
        <w:spacing w:line="560" w:lineRule="exact"/>
        <w:jc w:val="center"/>
        <w:rPr>
          <w:rFonts w:ascii="楷体_GB2312" w:hAnsi="CESI小标宋-GB2312" w:eastAsia="楷体_GB2312" w:cs="CESI小标宋-GB2312"/>
          <w:bCs/>
          <w:sz w:val="32"/>
          <w:szCs w:val="32"/>
        </w:rPr>
      </w:pPr>
      <w:r>
        <w:rPr>
          <w:rFonts w:hint="eastAsia" w:ascii="楷体_GB2312" w:hAnsi="CESI小标宋-GB2312" w:eastAsia="楷体_GB2312" w:cs="CESI小标宋-GB2312"/>
          <w:bCs/>
          <w:sz w:val="32"/>
          <w:szCs w:val="32"/>
        </w:rPr>
        <w:t>（试行）</w:t>
      </w:r>
    </w:p>
    <w:p>
      <w:pPr>
        <w:pStyle w:val="2"/>
        <w:spacing w:line="600" w:lineRule="exact"/>
        <w:ind w:firstLine="640" w:firstLineChars="200"/>
        <w:jc w:val="both"/>
        <w:rPr>
          <w:rFonts w:ascii="仿宋" w:hAnsi="仿宋" w:eastAsia="仿宋" w:cs="仿宋"/>
          <w:sz w:val="32"/>
          <w:szCs w:val="32"/>
        </w:rPr>
      </w:pPr>
    </w:p>
    <w:p>
      <w:pPr>
        <w:pStyle w:val="2"/>
        <w:spacing w:beforeLines="50" w:afterLines="50" w:line="600" w:lineRule="exact"/>
        <w:jc w:val="center"/>
        <w:rPr>
          <w:rFonts w:ascii="黑体" w:hAnsi="CESI黑体-GB2312" w:eastAsia="黑体" w:cs="CESI黑体-GB2312"/>
          <w:sz w:val="32"/>
          <w:szCs w:val="32"/>
        </w:rPr>
      </w:pPr>
      <w:r>
        <w:rPr>
          <w:rFonts w:hint="eastAsia" w:ascii="黑体" w:hAnsi="CESI黑体-GB2312" w:eastAsia="黑体" w:cs="CESI黑体-GB2312"/>
          <w:sz w:val="32"/>
          <w:szCs w:val="32"/>
        </w:rPr>
        <w:t>第一章  总  则</w:t>
      </w:r>
    </w:p>
    <w:p>
      <w:pPr>
        <w:pStyle w:val="2"/>
        <w:spacing w:line="600" w:lineRule="exact"/>
        <w:ind w:firstLine="640" w:firstLineChars="200"/>
        <w:jc w:val="both"/>
        <w:rPr>
          <w:rFonts w:ascii="仿宋" w:hAnsi="仿宋" w:eastAsia="仿宋" w:cs="仿宋"/>
          <w:sz w:val="32"/>
          <w:szCs w:val="32"/>
        </w:rPr>
      </w:pPr>
      <w:r>
        <w:rPr>
          <w:rFonts w:hint="eastAsia" w:ascii="仿宋" w:hAnsi="仿宋" w:eastAsia="仿宋" w:cs="仿宋"/>
          <w:b/>
          <w:sz w:val="32"/>
          <w:szCs w:val="32"/>
        </w:rPr>
        <w:t>第一条</w:t>
      </w:r>
      <w:r>
        <w:rPr>
          <w:rFonts w:hint="eastAsia" w:ascii="仿宋" w:hAnsi="仿宋" w:eastAsia="仿宋" w:cs="仿宋"/>
          <w:sz w:val="32"/>
          <w:szCs w:val="32"/>
        </w:rPr>
        <w:t xml:space="preserve">  为进一步加强固定资产管理，根据《政府会计准则—基本准则》《政府会计准则第3号—固定资产》和《行政事业性国有资产管理条例》等规定，结合本院实际，制定本管理制度。</w:t>
      </w:r>
    </w:p>
    <w:p>
      <w:pPr>
        <w:pStyle w:val="8"/>
        <w:spacing w:line="600" w:lineRule="exact"/>
        <w:ind w:firstLine="643"/>
        <w:rPr>
          <w:rFonts w:ascii="仿宋" w:hAnsi="仿宋" w:eastAsia="仿宋" w:cs="仿宋"/>
          <w:szCs w:val="32"/>
        </w:rPr>
      </w:pPr>
      <w:r>
        <w:rPr>
          <w:rFonts w:hint="eastAsia" w:ascii="仿宋" w:hAnsi="仿宋" w:eastAsia="仿宋" w:cs="仿宋"/>
          <w:b/>
          <w:szCs w:val="32"/>
        </w:rPr>
        <w:t>第二条</w:t>
      </w:r>
      <w:r>
        <w:rPr>
          <w:rFonts w:hint="eastAsia" w:ascii="仿宋" w:hAnsi="仿宋" w:eastAsia="仿宋" w:cs="仿宋"/>
          <w:szCs w:val="32"/>
        </w:rPr>
        <w:t xml:space="preserve">  本制度所称固定资产，是指为满足本院履行法定职责而拥有的，使用年限超过1年（不含1年）且达到单位价值标准1000元（含1000元）以上，并在使用过程中基本保持原有物质形态的资产。包括房屋及构筑物、专用设备、通用设备等；以及单位价值虽未达到规定标准，但使用年限超过1年（不含1年）的图书、家具、用具、装具等大批量同类物资。</w:t>
      </w:r>
    </w:p>
    <w:p>
      <w:pPr>
        <w:pStyle w:val="2"/>
        <w:spacing w:beforeLines="50" w:afterLines="50" w:line="600" w:lineRule="exact"/>
        <w:jc w:val="center"/>
        <w:rPr>
          <w:rFonts w:ascii="黑体" w:hAnsi="CESI黑体-GB2312" w:eastAsia="黑体" w:cs="CESI黑体-GB2312"/>
          <w:sz w:val="32"/>
          <w:szCs w:val="32"/>
        </w:rPr>
      </w:pPr>
      <w:r>
        <w:rPr>
          <w:rFonts w:hint="eastAsia" w:ascii="黑体" w:hAnsi="CESI黑体-GB2312" w:eastAsia="黑体" w:cs="CESI黑体-GB2312"/>
          <w:sz w:val="32"/>
          <w:szCs w:val="32"/>
        </w:rPr>
        <w:t>第二章  固定资产的购置与验收</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b/>
          <w:sz w:val="32"/>
          <w:szCs w:val="32"/>
        </w:rPr>
        <w:t>第三条</w:t>
      </w:r>
      <w:r>
        <w:rPr>
          <w:rFonts w:hint="eastAsia" w:ascii="仿宋" w:hAnsi="仿宋" w:eastAsia="仿宋" w:cs="仿宋"/>
          <w:sz w:val="32"/>
          <w:szCs w:val="32"/>
        </w:rPr>
        <w:t xml:space="preserve"> </w:t>
      </w:r>
      <w:r>
        <w:rPr>
          <w:rFonts w:hint="eastAsia" w:ascii="黑体" w:hAnsi="黑体" w:eastAsia="黑体" w:cs="黑体"/>
          <w:sz w:val="32"/>
          <w:szCs w:val="32"/>
        </w:rPr>
        <w:t xml:space="preserve"> </w:t>
      </w:r>
      <w:r>
        <w:rPr>
          <w:rFonts w:hint="eastAsia" w:ascii="仿宋" w:hAnsi="仿宋" w:eastAsia="仿宋" w:cs="仿宋"/>
          <w:sz w:val="32"/>
          <w:szCs w:val="32"/>
        </w:rPr>
        <w:t>固定资产的购置，应本着“需要、经济、适用、内部调剂优先”的原则，由使用部门提出购置申请，注明拟购买固定资产的型号、性能要求、预计金额等，经部门负责人同意并报院采购办审核后，填写《湖南省地方志编纂院政府采购申请表》，按照采购审批权限进行审批并按政府采购业务管理制度实施采购。</w:t>
      </w:r>
    </w:p>
    <w:p>
      <w:pPr>
        <w:spacing w:line="600" w:lineRule="exact"/>
        <w:ind w:firstLine="640" w:firstLineChars="200"/>
        <w:rPr>
          <w:rFonts w:ascii="仿宋" w:hAnsi="仿宋" w:eastAsia="仿宋" w:cs="仿宋"/>
          <w:sz w:val="32"/>
          <w:szCs w:val="32"/>
        </w:rPr>
      </w:pPr>
      <w:r>
        <w:rPr>
          <w:rFonts w:hint="eastAsia" w:ascii="仿宋" w:hAnsi="仿宋" w:eastAsia="仿宋" w:cs="仿宋"/>
          <w:b/>
          <w:sz w:val="32"/>
          <w:szCs w:val="32"/>
        </w:rPr>
        <w:t>第四条</w:t>
      </w:r>
      <w:r>
        <w:rPr>
          <w:rFonts w:hint="eastAsia" w:ascii="仿宋" w:hAnsi="仿宋" w:eastAsia="仿宋" w:cs="仿宋"/>
          <w:sz w:val="32"/>
          <w:szCs w:val="32"/>
        </w:rPr>
        <w:t xml:space="preserve">  购置固定资产，应当符合省政府和省财政厅的相关规定及配置标准。单笔采购金额2万元以上的，需院纪检部门参与全程监督。</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b/>
          <w:sz w:val="32"/>
          <w:szCs w:val="32"/>
        </w:rPr>
        <w:t>第五条</w:t>
      </w:r>
      <w:r>
        <w:rPr>
          <w:rFonts w:hint="eastAsia" w:ascii="仿宋" w:hAnsi="仿宋" w:eastAsia="仿宋" w:cs="仿宋"/>
          <w:sz w:val="32"/>
          <w:szCs w:val="32"/>
        </w:rPr>
        <w:t xml:space="preserve">  收到新购、调拨、置换等方式获取的固定资产后，由院采购办、资产专管员和申请部门通过认真核对实物与合同和发票上的品名、规格、型号、数量等信息，共同负责验收，并签署验收意见。</w:t>
      </w:r>
    </w:p>
    <w:p>
      <w:pPr>
        <w:pStyle w:val="2"/>
        <w:spacing w:beforeLines="50" w:afterLines="50" w:line="600" w:lineRule="exact"/>
        <w:jc w:val="center"/>
        <w:rPr>
          <w:rFonts w:ascii="黑体" w:hAnsi="CESI黑体-GB2312" w:eastAsia="黑体" w:cs="CESI黑体-GB2312"/>
          <w:sz w:val="32"/>
          <w:szCs w:val="32"/>
        </w:rPr>
      </w:pPr>
      <w:r>
        <w:rPr>
          <w:rFonts w:hint="eastAsia" w:ascii="黑体" w:hAnsi="CESI黑体-GB2312" w:eastAsia="黑体" w:cs="CESI黑体-GB2312"/>
          <w:sz w:val="32"/>
          <w:szCs w:val="32"/>
        </w:rPr>
        <w:t>第三章  固定资产的领用与借用</w:t>
      </w:r>
    </w:p>
    <w:p>
      <w:pPr>
        <w:pStyle w:val="8"/>
        <w:spacing w:line="600" w:lineRule="exact"/>
        <w:ind w:firstLine="643"/>
        <w:rPr>
          <w:rFonts w:ascii="仿宋" w:hAnsi="仿宋" w:eastAsia="仿宋" w:cs="仿宋"/>
          <w:szCs w:val="32"/>
        </w:rPr>
      </w:pPr>
      <w:r>
        <w:rPr>
          <w:rFonts w:hint="eastAsia" w:ascii="仿宋" w:hAnsi="仿宋" w:eastAsia="仿宋" w:cs="仿宋"/>
          <w:b/>
          <w:szCs w:val="32"/>
        </w:rPr>
        <w:t>第六条</w:t>
      </w:r>
      <w:r>
        <w:rPr>
          <w:rFonts w:hint="eastAsia" w:ascii="仿宋" w:hAnsi="仿宋" w:eastAsia="仿宋" w:cs="仿宋"/>
          <w:szCs w:val="32"/>
        </w:rPr>
        <w:t xml:space="preserve">  申请部门领用固定资产时，应填写《固定资产领用登记表》。表中应详细体现固定资产名称、规格型号、金额、领用时间、存放地点、领用人签字等信息，落实使用责任人。资产专管员在资产管理系统中及时同步进行资产卡片登记录入。</w:t>
      </w:r>
    </w:p>
    <w:p>
      <w:pPr>
        <w:pStyle w:val="2"/>
        <w:spacing w:line="600" w:lineRule="exact"/>
        <w:ind w:firstLine="640" w:firstLineChars="200"/>
        <w:jc w:val="both"/>
        <w:rPr>
          <w:rFonts w:ascii="仿宋" w:hAnsi="仿宋" w:eastAsia="仿宋" w:cs="仿宋"/>
          <w:spacing w:val="-6"/>
          <w:sz w:val="32"/>
          <w:szCs w:val="32"/>
        </w:rPr>
      </w:pPr>
      <w:r>
        <w:rPr>
          <w:rFonts w:hint="eastAsia" w:ascii="仿宋" w:hAnsi="仿宋" w:eastAsia="仿宋" w:cs="仿宋"/>
          <w:b/>
          <w:sz w:val="32"/>
          <w:szCs w:val="32"/>
        </w:rPr>
        <w:t>第七条</w:t>
      </w:r>
      <w:r>
        <w:rPr>
          <w:rFonts w:hint="eastAsia" w:ascii="仿宋" w:hAnsi="仿宋" w:eastAsia="仿宋" w:cs="仿宋"/>
          <w:spacing w:val="-6"/>
          <w:sz w:val="32"/>
          <w:szCs w:val="32"/>
        </w:rPr>
        <w:t xml:space="preserve">  工作人员应当合理使用、妥善保管固定资产。发现固定资产损坏时，应当及时报修。禁止资产闲置、公物私用。</w:t>
      </w:r>
    </w:p>
    <w:p>
      <w:pPr>
        <w:spacing w:line="600" w:lineRule="exact"/>
        <w:ind w:firstLine="640" w:firstLineChars="200"/>
        <w:rPr>
          <w:rFonts w:ascii="仿宋" w:hAnsi="仿宋" w:eastAsia="仿宋" w:cs="仿宋"/>
          <w:sz w:val="32"/>
          <w:szCs w:val="32"/>
        </w:rPr>
      </w:pPr>
      <w:r>
        <w:rPr>
          <w:rFonts w:hint="eastAsia" w:ascii="仿宋" w:hAnsi="仿宋" w:eastAsia="仿宋" w:cs="仿宋"/>
          <w:b/>
          <w:sz w:val="32"/>
          <w:szCs w:val="32"/>
        </w:rPr>
        <w:t>第八条</w:t>
      </w:r>
      <w:r>
        <w:rPr>
          <w:rFonts w:hint="eastAsia" w:ascii="仿宋" w:hAnsi="仿宋" w:eastAsia="仿宋" w:cs="仿宋"/>
          <w:sz w:val="32"/>
          <w:szCs w:val="32"/>
        </w:rPr>
        <w:t xml:space="preserve">  临时借用公用设备的，应当符合下列规定：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（一）由经办人在资产专管员处填写《公用设备临时借用表》，领用前检查设备是否完好正常、配件是否齐全；归还时应保持原状态，并经资产专管员确认完好。</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（二）借用者在使用过程中负责设备维护、保养和清洁，不得转借他人。因未履行手续私自转借他人而出现问题的，由原借用人承担相关责任。</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（三）投影仪等贵重物品借用时，原则上应当天归还。如不能当天归还的，需提前向办公室申请报批。</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（四）使用过程中发生设备丢失的，经确认责任后，借用人将承担以固定资产原值为基础、按照使用年限折旧后的净值确定赔偿费用。发生人为故意损坏情况的，借用人需承担相应修理费用。</w:t>
      </w:r>
    </w:p>
    <w:p>
      <w:pPr>
        <w:pStyle w:val="2"/>
        <w:spacing w:beforeLines="50" w:afterLines="50" w:line="600" w:lineRule="exact"/>
        <w:jc w:val="center"/>
        <w:rPr>
          <w:rFonts w:ascii="黑体" w:hAnsi="CESI黑体-GB2312" w:eastAsia="黑体" w:cs="CESI黑体-GB2312"/>
          <w:sz w:val="32"/>
          <w:szCs w:val="32"/>
        </w:rPr>
      </w:pPr>
      <w:r>
        <w:rPr>
          <w:rFonts w:hint="eastAsia" w:ascii="黑体" w:hAnsi="CESI黑体-GB2312" w:eastAsia="黑体" w:cs="CESI黑体-GB2312"/>
          <w:sz w:val="32"/>
          <w:szCs w:val="32"/>
        </w:rPr>
        <w:t>第四章  固定资产的调拨与转移</w:t>
      </w:r>
    </w:p>
    <w:p>
      <w:pPr>
        <w:spacing w:line="600" w:lineRule="exact"/>
        <w:ind w:firstLine="640" w:firstLineChars="200"/>
        <w:rPr>
          <w:rFonts w:ascii="仿宋" w:hAnsi="仿宋" w:eastAsia="仿宋" w:cs="仿宋"/>
          <w:sz w:val="32"/>
          <w:szCs w:val="32"/>
        </w:rPr>
      </w:pPr>
      <w:r>
        <w:rPr>
          <w:rFonts w:hint="eastAsia" w:ascii="仿宋" w:hAnsi="仿宋" w:eastAsia="仿宋" w:cs="仿宋"/>
          <w:b/>
          <w:sz w:val="32"/>
          <w:szCs w:val="32"/>
        </w:rPr>
        <w:t>第九条</w:t>
      </w:r>
      <w:r>
        <w:rPr>
          <w:rFonts w:hint="eastAsia" w:ascii="仿宋" w:hAnsi="仿宋" w:eastAsia="仿宋" w:cs="仿宋"/>
          <w:sz w:val="32"/>
          <w:szCs w:val="32"/>
        </w:rPr>
        <w:t xml:space="preserve">  未经办公室主任批准，不得在单位内部擅自调</w:t>
      </w:r>
      <w:r>
        <w:rPr>
          <w:rFonts w:hint="eastAsia" w:ascii="仿宋" w:hAnsi="仿宋" w:eastAsia="仿宋" w:cs="仿宋"/>
          <w:sz w:val="32"/>
          <w:szCs w:val="32"/>
          <w:lang w:eastAsia="zh-CN"/>
        </w:rPr>
        <w:t>拨</w:t>
      </w:r>
      <w:r>
        <w:rPr>
          <w:rFonts w:hint="eastAsia" w:ascii="仿宋" w:hAnsi="仿宋" w:eastAsia="仿宋" w:cs="仿宋"/>
          <w:sz w:val="32"/>
          <w:szCs w:val="32"/>
        </w:rPr>
        <w:t>、转移固定资产；未经分管院领导批准，不得对向外单位擅自调</w:t>
      </w:r>
      <w:r>
        <w:rPr>
          <w:rFonts w:hint="eastAsia" w:ascii="仿宋" w:hAnsi="仿宋" w:eastAsia="仿宋" w:cs="仿宋"/>
          <w:sz w:val="32"/>
          <w:szCs w:val="32"/>
          <w:lang w:eastAsia="zh-CN"/>
        </w:rPr>
        <w:t>拨</w:t>
      </w:r>
      <w:r>
        <w:rPr>
          <w:rFonts w:hint="eastAsia" w:ascii="仿宋" w:hAnsi="仿宋" w:eastAsia="仿宋" w:cs="仿宋"/>
          <w:sz w:val="32"/>
          <w:szCs w:val="32"/>
        </w:rPr>
        <w:t>、转移、借出固定资产。</w:t>
      </w:r>
    </w:p>
    <w:p>
      <w:pPr>
        <w:widowControl/>
        <w:spacing w:line="600" w:lineRule="exact"/>
        <w:ind w:firstLine="640" w:firstLineChars="200"/>
        <w:rPr>
          <w:rFonts w:ascii="仿宋" w:hAnsi="仿宋" w:eastAsia="仿宋" w:cs="仿宋"/>
          <w:color w:val="231916"/>
          <w:kern w:val="0"/>
          <w:sz w:val="32"/>
          <w:szCs w:val="32"/>
        </w:rPr>
      </w:pPr>
      <w:r>
        <w:rPr>
          <w:rFonts w:hint="eastAsia" w:ascii="仿宋" w:hAnsi="仿宋" w:eastAsia="仿宋" w:cs="仿宋"/>
          <w:b/>
          <w:sz w:val="32"/>
          <w:szCs w:val="32"/>
        </w:rPr>
        <w:t>第十条</w:t>
      </w:r>
      <w:r>
        <w:rPr>
          <w:rFonts w:hint="eastAsia" w:ascii="仿宋" w:hAnsi="仿宋" w:eastAsia="仿宋" w:cs="仿宋"/>
          <w:sz w:val="32"/>
          <w:szCs w:val="32"/>
        </w:rPr>
        <w:t xml:space="preserve">  因人员工作岗位变动或工作需要而进行调拨或转移固定资产的，申请人应当事先填写《固定资产移交清单》，分别送资产专管员、办公室主任审批后，待资产专管员根据移交清单同步在资产管理系统中对相关资产信息进行变更调整后，方可做实物变更移交。</w:t>
      </w:r>
    </w:p>
    <w:p>
      <w:pPr>
        <w:spacing w:line="600" w:lineRule="exact"/>
        <w:ind w:firstLine="640" w:firstLineChars="200"/>
        <w:rPr>
          <w:rFonts w:ascii="仿宋" w:hAnsi="仿宋" w:eastAsia="仿宋" w:cs="仿宋"/>
          <w:sz w:val="32"/>
          <w:szCs w:val="32"/>
        </w:rPr>
      </w:pPr>
      <w:r>
        <w:rPr>
          <w:rFonts w:hint="eastAsia" w:ascii="仿宋" w:hAnsi="仿宋" w:eastAsia="仿宋" w:cs="仿宋"/>
          <w:b/>
          <w:sz w:val="32"/>
          <w:szCs w:val="32"/>
        </w:rPr>
        <w:t>第十一条</w:t>
      </w:r>
      <w:r>
        <w:rPr>
          <w:rFonts w:hint="eastAsia" w:ascii="仿宋" w:hAnsi="仿宋" w:eastAsia="仿宋" w:cs="仿宋"/>
          <w:sz w:val="32"/>
          <w:szCs w:val="32"/>
        </w:rPr>
        <w:t xml:space="preserve">  机关对外的固定资产调拨和转移，一般为捐赠或移交机关事务局的“公物仓”。对外调拨或转移时，应当办理相关手续，经分管院领导或院长签字同意后方可进行。接受捐赠或调入的资产，应当按照约定的用途使用。</w:t>
      </w:r>
    </w:p>
    <w:p>
      <w:pPr>
        <w:pStyle w:val="2"/>
        <w:spacing w:beforeLines="50" w:afterLines="50" w:line="600" w:lineRule="exact"/>
        <w:jc w:val="center"/>
        <w:rPr>
          <w:rFonts w:ascii="黑体" w:hAnsi="CESI黑体-GB2312" w:eastAsia="黑体" w:cs="CESI黑体-GB2312"/>
          <w:sz w:val="32"/>
          <w:szCs w:val="32"/>
        </w:rPr>
      </w:pPr>
    </w:p>
    <w:p>
      <w:pPr>
        <w:pStyle w:val="2"/>
        <w:spacing w:beforeLines="50" w:afterLines="50" w:line="600" w:lineRule="exact"/>
        <w:jc w:val="center"/>
        <w:rPr>
          <w:rFonts w:ascii="黑体" w:hAnsi="CESI黑体-GB2312" w:eastAsia="黑体" w:cs="CESI黑体-GB2312"/>
          <w:sz w:val="32"/>
          <w:szCs w:val="32"/>
        </w:rPr>
      </w:pPr>
      <w:r>
        <w:rPr>
          <w:rFonts w:hint="eastAsia" w:ascii="黑体" w:hAnsi="CESI黑体-GB2312" w:eastAsia="黑体" w:cs="CESI黑体-GB2312"/>
          <w:sz w:val="32"/>
          <w:szCs w:val="32"/>
        </w:rPr>
        <w:t>第五章  固定资产的盘点与清查</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b/>
          <w:sz w:val="32"/>
          <w:szCs w:val="32"/>
        </w:rPr>
        <w:t>第十二条</w:t>
      </w:r>
      <w:r>
        <w:rPr>
          <w:rFonts w:hint="eastAsia" w:ascii="仿宋" w:hAnsi="仿宋" w:eastAsia="仿宋" w:cs="仿宋"/>
          <w:sz w:val="32"/>
          <w:szCs w:val="32"/>
        </w:rPr>
        <w:t xml:space="preserve">  为了保护固定资产的安全与完整，各部门应履行资产保管人职责，按照“谁使用，谁保管”的原则，定期进行资产自查，查对有无丢失、毁损并及时上报院办公室。院办公室每年至少委托资产系统运维公司协助进行一次资产实物盘点，原则上在每年第一个季度进行，确保全面掌握并真实反映固定资产的数量、价值和使用情况，确保账账相符、账实相符。</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b/>
          <w:sz w:val="32"/>
          <w:szCs w:val="32"/>
        </w:rPr>
        <w:t>第十三条</w:t>
      </w:r>
      <w:r>
        <w:rPr>
          <w:rFonts w:hint="eastAsia" w:ascii="仿宋" w:hAnsi="仿宋" w:eastAsia="仿宋" w:cs="仿宋"/>
          <w:sz w:val="32"/>
          <w:szCs w:val="32"/>
        </w:rPr>
        <w:t xml:space="preserve">  为保证内控规范、职权分离，资产专管员、资产账务登记人员等应当相互分离、互相制约。</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b/>
          <w:sz w:val="32"/>
          <w:szCs w:val="32"/>
        </w:rPr>
        <w:t>第十四条</w:t>
      </w:r>
      <w:r>
        <w:rPr>
          <w:rFonts w:hint="eastAsia" w:ascii="仿宋" w:hAnsi="仿宋" w:eastAsia="仿宋" w:cs="仿宋"/>
          <w:sz w:val="32"/>
          <w:szCs w:val="32"/>
        </w:rPr>
        <w:t xml:space="preserve">  开展固定资产清查时，应填制《固定资产盘点明细表》，详细反映所盘点的固定资产实有数，并与固定资产账面数核对，做到账务、实物和固定资产卡片相一致。若有盘盈或盘亏的，须编报《固定资产盘盈盘亏报告表》，列出原因和责任，报部门负责人、办公室主任和分管院领导批准后，资产专管员对资产管理信息系统中固定资产卡片内容进行更新，财务人员根据清查结果做相应账务的处理。</w:t>
      </w:r>
    </w:p>
    <w:p>
      <w:pPr>
        <w:pStyle w:val="2"/>
        <w:spacing w:beforeLines="50" w:afterLines="50" w:line="600" w:lineRule="exact"/>
        <w:jc w:val="center"/>
        <w:rPr>
          <w:rFonts w:ascii="黑体" w:hAnsi="CESI黑体-GB2312" w:eastAsia="黑体" w:cs="CESI黑体-GB2312"/>
          <w:sz w:val="32"/>
          <w:szCs w:val="32"/>
        </w:rPr>
      </w:pPr>
      <w:r>
        <w:rPr>
          <w:rFonts w:hint="eastAsia" w:ascii="黑体" w:hAnsi="CESI黑体-GB2312" w:eastAsia="黑体" w:cs="CESI黑体-GB2312"/>
          <w:sz w:val="32"/>
          <w:szCs w:val="32"/>
        </w:rPr>
        <w:t>第六章  固定资产的报废</w:t>
      </w:r>
    </w:p>
    <w:p>
      <w:pPr>
        <w:pStyle w:val="8"/>
        <w:spacing w:line="600" w:lineRule="exact"/>
        <w:ind w:firstLine="643"/>
        <w:rPr>
          <w:rFonts w:ascii="仿宋" w:hAnsi="仿宋" w:eastAsia="仿宋" w:cs="仿宋"/>
          <w:szCs w:val="32"/>
        </w:rPr>
      </w:pPr>
      <w:r>
        <w:rPr>
          <w:rFonts w:hint="eastAsia" w:ascii="仿宋" w:hAnsi="仿宋" w:eastAsia="仿宋" w:cs="仿宋"/>
          <w:b/>
          <w:szCs w:val="32"/>
        </w:rPr>
        <w:t>第十五条</w:t>
      </w:r>
      <w:r>
        <w:rPr>
          <w:rFonts w:hint="eastAsia" w:ascii="仿宋" w:hAnsi="仿宋" w:eastAsia="仿宋" w:cs="仿宋"/>
          <w:szCs w:val="32"/>
        </w:rPr>
        <w:t xml:space="preserve">  通用设备报废年限应当按照现行国有资产配置标准规定的使用年限执行，其他资产报废年限可参照《财政部关于印发&lt;政府会计准则第 3 号-固定资产&gt;应用指南的通知》（财会〔2017〕4 号）等折旧年限标准执行。</w:t>
      </w:r>
    </w:p>
    <w:p>
      <w:pPr>
        <w:pStyle w:val="8"/>
        <w:spacing w:line="600" w:lineRule="exact"/>
        <w:ind w:firstLine="640"/>
        <w:rPr>
          <w:rFonts w:ascii="仿宋" w:hAnsi="仿宋" w:eastAsia="仿宋" w:cs="仿宋"/>
          <w:szCs w:val="32"/>
        </w:rPr>
      </w:pPr>
      <w:r>
        <w:rPr>
          <w:rFonts w:hint="eastAsia" w:ascii="仿宋" w:hAnsi="仿宋" w:eastAsia="仿宋" w:cs="仿宋"/>
          <w:szCs w:val="32"/>
        </w:rPr>
        <w:t>已达到规定使用年限但仍可继续使用的固定资产，应当继续使用。</w:t>
      </w:r>
    </w:p>
    <w:p>
      <w:pPr>
        <w:pStyle w:val="8"/>
        <w:spacing w:line="600" w:lineRule="exact"/>
        <w:ind w:firstLine="640"/>
        <w:rPr>
          <w:rFonts w:ascii="仿宋" w:hAnsi="仿宋" w:eastAsia="仿宋" w:cs="仿宋"/>
          <w:szCs w:val="32"/>
        </w:rPr>
      </w:pPr>
      <w:r>
        <w:rPr>
          <w:rFonts w:hint="eastAsia" w:ascii="仿宋" w:hAnsi="仿宋" w:eastAsia="仿宋" w:cs="仿宋"/>
          <w:szCs w:val="32"/>
        </w:rPr>
        <w:t xml:space="preserve"> </w:t>
      </w:r>
      <w:r>
        <w:rPr>
          <w:rFonts w:hint="eastAsia" w:ascii="仿宋" w:hAnsi="仿宋" w:eastAsia="仿宋" w:cs="仿宋"/>
          <w:b/>
          <w:szCs w:val="32"/>
        </w:rPr>
        <w:t>第十六条</w:t>
      </w:r>
      <w:r>
        <w:rPr>
          <w:rFonts w:hint="eastAsia" w:ascii="仿宋" w:hAnsi="仿宋" w:eastAsia="仿宋" w:cs="仿宋"/>
          <w:szCs w:val="32"/>
        </w:rPr>
        <w:t xml:space="preserve">  按照有关规定或者经有关部门、专家鉴定，对因技术原因确需淘汰或者无法维修、无维修价值的固定资产，或者已超过使用年限且无法满足工作需要的固定资产，按下列流程和规定进行报废处理：</w:t>
      </w:r>
    </w:p>
    <w:p>
      <w:pPr>
        <w:pStyle w:val="8"/>
        <w:spacing w:line="600" w:lineRule="exact"/>
        <w:ind w:firstLine="640"/>
        <w:rPr>
          <w:rFonts w:ascii="仿宋" w:hAnsi="仿宋" w:eastAsia="仿宋" w:cs="仿宋"/>
          <w:szCs w:val="32"/>
        </w:rPr>
      </w:pPr>
      <w:r>
        <w:rPr>
          <w:rFonts w:hint="eastAsia" w:ascii="仿宋" w:hAnsi="仿宋" w:eastAsia="仿宋" w:cs="仿宋"/>
          <w:szCs w:val="32"/>
        </w:rPr>
        <w:t>（一）按照《湖南省省级行政事业单位国有资产处置管理办法》相关规定，严格履行审批手续，未经批准不得自行处置。</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报废审批。由资产使用部门或保管部门向院办公室提出报废申请，资产专管员对待报废的实物资产是否符合报废条件进行审核，审核通过后编制相关处置申请单，报办公室主任及分管财务院领导审批。其中，车辆及超过批量处置审批权限等情况的资产处置，需报省财政厅审批。</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（三）审批完成后，联系省机关事务局指定的定点回收公司，按相关流程办理回收及备案手续。</w:t>
      </w:r>
    </w:p>
    <w:p>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（四）报废处置完成后，资产专管员应及时对资产管理信息系统中相关固定资产卡片内容进行更新；财务人员依据资产处置审批材料和实物处理结果进行账务处理。</w:t>
      </w:r>
    </w:p>
    <w:p>
      <w:pPr>
        <w:pStyle w:val="2"/>
        <w:spacing w:beforeLines="50" w:afterLines="50" w:line="600" w:lineRule="exact"/>
        <w:jc w:val="center"/>
        <w:rPr>
          <w:rFonts w:ascii="黑体" w:hAnsi="CESI黑体-GB2312" w:eastAsia="黑体" w:cs="CESI黑体-GB2312"/>
          <w:sz w:val="32"/>
          <w:szCs w:val="32"/>
        </w:rPr>
      </w:pPr>
      <w:r>
        <w:rPr>
          <w:rFonts w:hint="eastAsia" w:ascii="黑体" w:hAnsi="CESI黑体-GB2312" w:eastAsia="黑体" w:cs="CESI黑体-GB2312"/>
          <w:sz w:val="32"/>
          <w:szCs w:val="32"/>
        </w:rPr>
        <w:t>第七章  固定资产的折旧</w:t>
      </w:r>
    </w:p>
    <w:p>
      <w:pPr>
        <w:pStyle w:val="8"/>
        <w:spacing w:line="600" w:lineRule="exact"/>
        <w:ind w:firstLine="643"/>
        <w:rPr>
          <w:rFonts w:ascii="仿宋" w:hAnsi="仿宋" w:eastAsia="仿宋" w:cs="仿宋"/>
          <w:szCs w:val="32"/>
        </w:rPr>
      </w:pPr>
      <w:r>
        <w:rPr>
          <w:rFonts w:hint="eastAsia" w:ascii="仿宋" w:hAnsi="仿宋" w:eastAsia="仿宋" w:cs="仿宋"/>
          <w:b/>
          <w:szCs w:val="32"/>
        </w:rPr>
        <w:t>第十七条</w:t>
      </w:r>
      <w:r>
        <w:rPr>
          <w:rFonts w:hint="eastAsia" w:ascii="仿宋" w:hAnsi="仿宋" w:eastAsia="仿宋" w:cs="仿宋"/>
          <w:szCs w:val="32"/>
        </w:rPr>
        <w:t xml:space="preserve">  固定资产的折旧，应当遵循《政府会计准则第3号—固定资产》应用指南、主管部门有关折旧年限的规定，根据固定资产的性质和实际使用情况，合理确定其折旧年限。</w:t>
      </w:r>
    </w:p>
    <w:p>
      <w:pPr>
        <w:pStyle w:val="8"/>
        <w:spacing w:line="600" w:lineRule="exact"/>
        <w:ind w:firstLine="643"/>
        <w:rPr>
          <w:rFonts w:ascii="仿宋" w:hAnsi="仿宋" w:eastAsia="仿宋" w:cs="仿宋"/>
          <w:szCs w:val="32"/>
          <w:shd w:val="clear" w:color="auto" w:fill="FFFFFF"/>
        </w:rPr>
      </w:pPr>
      <w:r>
        <w:rPr>
          <w:rFonts w:hint="eastAsia" w:ascii="仿宋" w:hAnsi="仿宋" w:eastAsia="仿宋" w:cs="仿宋"/>
          <w:b/>
          <w:szCs w:val="32"/>
        </w:rPr>
        <w:t>第十八条</w:t>
      </w:r>
      <w:r>
        <w:rPr>
          <w:rFonts w:hint="eastAsia" w:ascii="仿宋" w:hAnsi="仿宋" w:eastAsia="仿宋" w:cs="仿宋"/>
          <w:szCs w:val="32"/>
          <w:shd w:val="clear" w:color="auto" w:fill="FFFFFF"/>
        </w:rPr>
        <w:t xml:space="preserve">  确定固定资产的折旧年限时，应当综合考虑下列因素：</w:t>
      </w:r>
    </w:p>
    <w:p>
      <w:pPr>
        <w:pStyle w:val="7"/>
        <w:widowControl/>
        <w:spacing w:beforeAutospacing="0" w:afterAutospacing="0" w:line="600" w:lineRule="exact"/>
        <w:ind w:firstLine="640" w:firstLineChars="200"/>
        <w:jc w:val="both"/>
        <w:rPr>
          <w:rFonts w:ascii="仿宋" w:hAnsi="仿宋" w:eastAsia="仿宋" w:cs="仿宋"/>
          <w:spacing w:val="-8"/>
          <w:sz w:val="32"/>
          <w:szCs w:val="32"/>
        </w:rPr>
      </w:pPr>
      <w:r>
        <w:rPr>
          <w:rFonts w:hint="eastAsia" w:ascii="仿宋" w:hAnsi="仿宋" w:eastAsia="仿宋" w:cs="仿宋"/>
          <w:sz w:val="32"/>
          <w:szCs w:val="32"/>
          <w:shd w:val="clear" w:color="auto" w:fill="FFFFFF"/>
        </w:rPr>
        <w:t>（一）</w:t>
      </w:r>
      <w:r>
        <w:rPr>
          <w:rFonts w:hint="eastAsia" w:ascii="仿宋" w:hAnsi="仿宋" w:eastAsia="仿宋" w:cs="仿宋"/>
          <w:spacing w:val="-8"/>
          <w:sz w:val="32"/>
          <w:szCs w:val="32"/>
          <w:shd w:val="clear" w:color="auto" w:fill="FFFFFF"/>
        </w:rPr>
        <w:t>固定资产预计实现服务潜力或提供经济利益的期限；</w:t>
      </w:r>
    </w:p>
    <w:p>
      <w:pPr>
        <w:pStyle w:val="7"/>
        <w:widowControl/>
        <w:spacing w:beforeAutospacing="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（二）固定资产预计有形损耗和无形损耗；</w:t>
      </w:r>
    </w:p>
    <w:p>
      <w:pPr>
        <w:pStyle w:val="7"/>
        <w:widowControl/>
        <w:spacing w:beforeAutospacing="0" w:afterAutospacing="0" w:line="60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（三）盘盈、无偿调入、接受的捐赠以及置换的固定资产，按照其新旧程度和尚可使用的年限计提折旧；</w:t>
      </w:r>
    </w:p>
    <w:p>
      <w:pPr>
        <w:pStyle w:val="7"/>
        <w:widowControl/>
        <w:spacing w:beforeAutospacing="0" w:afterAutospacing="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（四）法律或者类似规定对固定资产使用的限制。</w:t>
      </w:r>
    </w:p>
    <w:p>
      <w:pPr>
        <w:pStyle w:val="7"/>
        <w:widowControl/>
        <w:spacing w:beforeAutospacing="0" w:afterAutospacing="0" w:line="60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b/>
          <w:kern w:val="2"/>
          <w:sz w:val="32"/>
          <w:szCs w:val="32"/>
        </w:rPr>
        <w:t>第十九条</w:t>
      </w:r>
      <w:r>
        <w:rPr>
          <w:rFonts w:hint="eastAsia" w:ascii="仿宋" w:hAnsi="仿宋" w:eastAsia="仿宋" w:cs="仿宋"/>
          <w:sz w:val="32"/>
          <w:szCs w:val="32"/>
          <w:shd w:val="clear" w:color="auto" w:fill="FFFFFF"/>
        </w:rPr>
        <w:t xml:space="preserve">  固定资产的折旧年限一经确定，不得随意变更。因改建、扩建等原因而延长固定资产使用年限的，应当重新确定固定资产的折旧年限。</w:t>
      </w:r>
    </w:p>
    <w:p>
      <w:pPr>
        <w:pStyle w:val="2"/>
        <w:spacing w:beforeLines="50" w:afterLines="50" w:line="600" w:lineRule="exact"/>
        <w:jc w:val="center"/>
        <w:rPr>
          <w:rFonts w:ascii="黑体" w:hAnsi="CESI黑体-GB2312" w:eastAsia="黑体" w:cs="CESI黑体-GB2312"/>
          <w:sz w:val="32"/>
          <w:szCs w:val="32"/>
        </w:rPr>
      </w:pPr>
      <w:r>
        <w:rPr>
          <w:rFonts w:hint="eastAsia" w:ascii="黑体" w:hAnsi="CESI黑体-GB2312" w:eastAsia="黑体" w:cs="CESI黑体-GB2312"/>
          <w:sz w:val="32"/>
          <w:szCs w:val="32"/>
        </w:rPr>
        <w:t>第八章  相关部门和人员的职责与管理</w:t>
      </w:r>
    </w:p>
    <w:p>
      <w:pPr>
        <w:pStyle w:val="7"/>
        <w:widowControl/>
        <w:spacing w:beforeAutospacing="0" w:afterAutospacing="0" w:line="60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b/>
          <w:kern w:val="2"/>
          <w:sz w:val="32"/>
          <w:szCs w:val="32"/>
        </w:rPr>
        <w:t>第二十条</w:t>
      </w:r>
      <w:r>
        <w:rPr>
          <w:rFonts w:hint="eastAsia" w:ascii="仿宋" w:hAnsi="仿宋" w:eastAsia="仿宋" w:cs="仿宋"/>
          <w:sz w:val="32"/>
          <w:szCs w:val="32"/>
          <w:shd w:val="clear" w:color="auto" w:fill="FFFFFF"/>
        </w:rPr>
        <w:t xml:space="preserve">  院办公室为本院固定资产主管部门，其主要职责如下：</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（一）负责机关固定资产的购置、维修与保养等工作，建立健全固定资产管理制度；</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（二）定期组织固定资产清查盘点，做到账、卡、物相符；</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（三）负责编制固定资产的分类，统一编号，建立资产档案、登记账卡，负责办理调拨、转移、处置等事项，参与固定资产的验收工作；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（四）监督、指导使用部门或人员做好固定资产使用和维护工作；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（五）对违反固定资产管理制度的行为提出处理意见。</w:t>
      </w:r>
    </w:p>
    <w:p>
      <w:pPr>
        <w:spacing w:line="600" w:lineRule="exact"/>
        <w:ind w:firstLine="640" w:firstLineChars="200"/>
        <w:rPr>
          <w:rFonts w:ascii="仿宋" w:hAnsi="仿宋" w:eastAsia="仿宋" w:cs="仿宋"/>
          <w:sz w:val="32"/>
          <w:szCs w:val="32"/>
        </w:rPr>
      </w:pPr>
      <w:r>
        <w:rPr>
          <w:rFonts w:hint="eastAsia" w:ascii="仿宋" w:hAnsi="仿宋" w:eastAsia="仿宋" w:cs="仿宋"/>
          <w:b/>
          <w:sz w:val="32"/>
          <w:szCs w:val="32"/>
        </w:rPr>
        <w:t>第二十一条</w:t>
      </w:r>
      <w:r>
        <w:rPr>
          <w:rFonts w:hint="eastAsia" w:ascii="仿宋" w:hAnsi="仿宋" w:eastAsia="仿宋" w:cs="仿宋"/>
          <w:sz w:val="32"/>
          <w:szCs w:val="32"/>
        </w:rPr>
        <w:t xml:space="preserve">  资产专管员职责及其管理规定：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（一）负责单位实物固定资产的检查、统计、管理工作。管理和操作资产管理信息系统，及时录入和维护资产卡片等重要信息。</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（二）按照相关制度，认真做好新购资产的出入库工作。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（三）负责编制和填报固定资产购置、更新、维护计划。</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（四）负责审核和确定固定资产配置标准。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（五）负责处理单位资产的损坏和报废工作。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（六）负责回收各部室所的损坏物品，回收时应当与相关部室所办理回收确认手续，报废时按相关规定进行报批。</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（七）负责所保管资产的质量和安全。未经允许，不得擅自发放或转移单位资产。</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（八）发出或借出物品，要办好相关手续，做到有据可查。因工作失职或渎职而导致相关损失的，由专管员承担。</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九）负责管理单位低值易耗物品的管理工作。在物资购进入库验收时，专管员须同时做好物资进库台账；物资使用中严格做好领用台账登记工作；每季度末对仓库结存物资进行全面盘点，将盘点情况报院采购办作为采购下一季度物资的参考依据。</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（十）完成领导交办的其他事项。</w:t>
      </w:r>
    </w:p>
    <w:p>
      <w:pPr>
        <w:spacing w:line="600" w:lineRule="exact"/>
        <w:ind w:firstLine="640" w:firstLineChars="200"/>
        <w:rPr>
          <w:rFonts w:ascii="仿宋" w:hAnsi="仿宋" w:eastAsia="仿宋" w:cs="仿宋"/>
          <w:sz w:val="32"/>
          <w:szCs w:val="32"/>
        </w:rPr>
      </w:pPr>
      <w:r>
        <w:rPr>
          <w:rFonts w:hint="eastAsia" w:ascii="仿宋" w:hAnsi="仿宋" w:eastAsia="仿宋" w:cs="仿宋"/>
          <w:b/>
          <w:sz w:val="32"/>
          <w:szCs w:val="32"/>
        </w:rPr>
        <w:t>第二十二条</w:t>
      </w:r>
      <w:r>
        <w:rPr>
          <w:rFonts w:hint="eastAsia" w:ascii="仿宋" w:hAnsi="仿宋" w:eastAsia="仿宋" w:cs="仿宋"/>
          <w:sz w:val="32"/>
          <w:szCs w:val="32"/>
        </w:rPr>
        <w:t xml:space="preserve">  与固定资产管理有关的人员调离本岗位时，必须办理相关工作交接手续。</w:t>
      </w:r>
    </w:p>
    <w:p>
      <w:pPr>
        <w:pStyle w:val="2"/>
        <w:spacing w:beforeLines="50" w:afterLines="50" w:line="600" w:lineRule="exact"/>
        <w:jc w:val="center"/>
        <w:rPr>
          <w:rFonts w:ascii="黑体" w:hAnsi="CESI黑体-GB2312" w:eastAsia="黑体" w:cs="CESI黑体-GB2312"/>
          <w:sz w:val="32"/>
          <w:szCs w:val="32"/>
        </w:rPr>
      </w:pPr>
      <w:r>
        <w:rPr>
          <w:rFonts w:hint="eastAsia" w:ascii="黑体" w:hAnsi="CESI黑体-GB2312" w:eastAsia="黑体" w:cs="CESI黑体-GB2312"/>
          <w:sz w:val="32"/>
          <w:szCs w:val="32"/>
        </w:rPr>
        <w:t>第九章  附  则</w:t>
      </w:r>
    </w:p>
    <w:p>
      <w:pPr>
        <w:spacing w:line="600" w:lineRule="exact"/>
        <w:ind w:firstLine="640" w:firstLineChars="200"/>
        <w:rPr>
          <w:rFonts w:ascii="仿宋" w:hAnsi="仿宋" w:eastAsia="仿宋" w:cs="仿宋"/>
          <w:sz w:val="32"/>
          <w:szCs w:val="32"/>
        </w:rPr>
      </w:pPr>
      <w:r>
        <w:rPr>
          <w:rFonts w:hint="eastAsia" w:ascii="仿宋" w:hAnsi="仿宋" w:eastAsia="仿宋" w:cs="仿宋"/>
          <w:b/>
          <w:sz w:val="32"/>
          <w:szCs w:val="32"/>
        </w:rPr>
        <w:t>第二十三条</w:t>
      </w:r>
      <w:r>
        <w:rPr>
          <w:rFonts w:hint="eastAsia" w:ascii="仿宋" w:hAnsi="仿宋" w:eastAsia="仿宋" w:cs="仿宋"/>
          <w:sz w:val="32"/>
          <w:szCs w:val="32"/>
        </w:rPr>
        <w:t xml:space="preserve">  违反固定资产管理规定的，按本制度规定和国家有关法律法规进行处理。</w:t>
      </w:r>
    </w:p>
    <w:p>
      <w:pPr>
        <w:spacing w:line="600" w:lineRule="exact"/>
        <w:ind w:firstLine="640" w:firstLineChars="200"/>
        <w:rPr>
          <w:rFonts w:ascii="仿宋" w:hAnsi="仿宋" w:eastAsia="仿宋" w:cs="仿宋"/>
          <w:sz w:val="32"/>
          <w:szCs w:val="32"/>
        </w:rPr>
      </w:pPr>
      <w:r>
        <w:rPr>
          <w:rFonts w:hint="eastAsia" w:ascii="仿宋" w:hAnsi="仿宋" w:eastAsia="仿宋" w:cs="仿宋"/>
          <w:b/>
          <w:sz w:val="32"/>
          <w:szCs w:val="32"/>
        </w:rPr>
        <w:t>第二十四条</w:t>
      </w:r>
      <w:r>
        <w:rPr>
          <w:rFonts w:hint="eastAsia" w:ascii="仿宋" w:hAnsi="仿宋" w:eastAsia="仿宋" w:cs="仿宋"/>
          <w:sz w:val="32"/>
          <w:szCs w:val="32"/>
        </w:rPr>
        <w:t xml:space="preserve">  本制度自发布之日起试行。</w:t>
      </w:r>
    </w:p>
    <w:p>
      <w:pPr>
        <w:jc w:val="center"/>
        <w:rPr>
          <w:rFonts w:ascii="方正小标宋简体" w:eastAsia="方正小标宋简体"/>
          <w:bCs/>
          <w:w w:val="92"/>
          <w:sz w:val="44"/>
          <w:szCs w:val="44"/>
        </w:rPr>
      </w:pPr>
      <w:r>
        <w:rPr>
          <w:rFonts w:ascii="仿宋" w:hAnsi="仿宋" w:eastAsia="仿宋" w:cs="仿宋"/>
          <w:bCs/>
          <w:color w:val="000000"/>
          <w:sz w:val="32"/>
          <w:szCs w:val="32"/>
        </w:rPr>
        <w:br w:type="page"/>
      </w:r>
      <w:r>
        <w:rPr>
          <w:rFonts w:hint="eastAsia" w:ascii="方正小标宋简体" w:eastAsia="方正小标宋简体"/>
          <w:bCs/>
          <w:w w:val="92"/>
          <w:sz w:val="44"/>
          <w:szCs w:val="44"/>
        </w:rPr>
        <w:t>湖南省地方志编纂院离退休人员服务管理办法</w:t>
      </w:r>
    </w:p>
    <w:p>
      <w:pPr>
        <w:jc w:val="center"/>
        <w:rPr>
          <w:rFonts w:ascii="楷体_GB2312" w:hAnsi="CESI宋体-GB2312" w:eastAsia="楷体_GB2312" w:cs="CESI宋体-GB2312"/>
          <w:sz w:val="32"/>
          <w:szCs w:val="32"/>
        </w:rPr>
      </w:pPr>
      <w:r>
        <w:rPr>
          <w:rFonts w:hint="eastAsia" w:ascii="楷体_GB2312" w:hAnsi="CESI宋体-GB2312" w:eastAsia="楷体_GB2312" w:cs="CESI宋体-GB2312"/>
          <w:sz w:val="32"/>
          <w:szCs w:val="32"/>
        </w:rPr>
        <w:t>（2023年9月26日修订）</w:t>
      </w:r>
    </w:p>
    <w:p>
      <w:pPr>
        <w:jc w:val="center"/>
        <w:rPr>
          <w:rFonts w:ascii="CESI宋体-GB2312" w:hAnsi="CESI宋体-GB2312" w:eastAsia="CESI宋体-GB2312" w:cs="CESI宋体-GB2312"/>
          <w:sz w:val="32"/>
          <w:szCs w:val="32"/>
        </w:rPr>
      </w:pPr>
    </w:p>
    <w:p>
      <w:pPr>
        <w:spacing w:line="560" w:lineRule="exact"/>
        <w:ind w:firstLine="640" w:firstLineChars="200"/>
        <w:rPr>
          <w:rFonts w:ascii="仿宋" w:hAnsi="仿宋" w:eastAsia="仿宋"/>
          <w:sz w:val="32"/>
          <w:szCs w:val="32"/>
        </w:rPr>
      </w:pPr>
      <w:r>
        <w:rPr>
          <w:rFonts w:hint="eastAsia" w:ascii="仿宋" w:hAnsi="仿宋" w:eastAsia="仿宋"/>
          <w:b/>
          <w:sz w:val="32"/>
          <w:szCs w:val="32"/>
        </w:rPr>
        <w:t xml:space="preserve">第一条 </w:t>
      </w:r>
      <w:r>
        <w:rPr>
          <w:rFonts w:hint="eastAsia" w:ascii="仿宋" w:hAnsi="仿宋" w:eastAsia="仿宋"/>
          <w:sz w:val="32"/>
          <w:szCs w:val="32"/>
        </w:rPr>
        <w:t xml:space="preserve"> 为进一步规范湖南省地方志编纂院离退休人员服务工作，结合本院实际，特制定本管理办法。</w:t>
      </w:r>
    </w:p>
    <w:p>
      <w:pPr>
        <w:spacing w:line="560" w:lineRule="exact"/>
        <w:ind w:firstLine="640" w:firstLineChars="200"/>
        <w:rPr>
          <w:rFonts w:ascii="仿宋" w:hAnsi="仿宋" w:eastAsia="仿宋"/>
          <w:sz w:val="32"/>
          <w:szCs w:val="32"/>
        </w:rPr>
      </w:pPr>
      <w:r>
        <w:rPr>
          <w:rFonts w:hint="eastAsia" w:ascii="仿宋" w:hAnsi="仿宋" w:eastAsia="仿宋"/>
          <w:b/>
          <w:sz w:val="32"/>
          <w:szCs w:val="32"/>
        </w:rPr>
        <w:t xml:space="preserve">第二条 </w:t>
      </w:r>
      <w:r>
        <w:rPr>
          <w:rFonts w:hint="eastAsia" w:ascii="仿宋" w:hAnsi="仿宋" w:eastAsia="仿宋"/>
          <w:sz w:val="32"/>
          <w:szCs w:val="32"/>
        </w:rPr>
        <w:t xml:space="preserve"> 将离退休人员服务管理工作列入党组议事日程，定期听取离退休人员管理工作情况汇报，及时研究和解决存在的重大问题。</w:t>
      </w:r>
    </w:p>
    <w:p>
      <w:pPr>
        <w:spacing w:line="560" w:lineRule="exact"/>
        <w:ind w:firstLine="640" w:firstLineChars="200"/>
        <w:rPr>
          <w:rFonts w:ascii="仿宋" w:hAnsi="仿宋" w:eastAsia="仿宋"/>
          <w:sz w:val="32"/>
          <w:szCs w:val="32"/>
        </w:rPr>
      </w:pPr>
      <w:r>
        <w:rPr>
          <w:rFonts w:hint="eastAsia" w:ascii="仿宋" w:hAnsi="仿宋" w:eastAsia="仿宋"/>
          <w:b/>
          <w:sz w:val="32"/>
          <w:szCs w:val="32"/>
        </w:rPr>
        <w:t xml:space="preserve">第三条 </w:t>
      </w:r>
      <w:r>
        <w:rPr>
          <w:rFonts w:hint="eastAsia" w:ascii="仿宋" w:hAnsi="仿宋" w:eastAsia="仿宋"/>
          <w:sz w:val="32"/>
          <w:szCs w:val="32"/>
        </w:rPr>
        <w:t xml:space="preserve"> 加强离退休党支部建设，把学习贯彻习近平新时代中国特色社会主义思想作为首要政治任务，组织引导离退休人员加强党的路线、方针、政策的学习，在思想上政治上行动上始终同党中央保持高度一致，不断提高政治判断力、政治领悟力、政治执行力。</w:t>
      </w:r>
    </w:p>
    <w:p>
      <w:pPr>
        <w:spacing w:line="560" w:lineRule="exact"/>
        <w:ind w:firstLine="640" w:firstLineChars="200"/>
        <w:rPr>
          <w:rFonts w:ascii="仿宋" w:hAnsi="仿宋" w:eastAsia="仿宋"/>
          <w:sz w:val="32"/>
          <w:szCs w:val="32"/>
        </w:rPr>
      </w:pPr>
      <w:r>
        <w:rPr>
          <w:rFonts w:hint="eastAsia" w:ascii="仿宋" w:hAnsi="仿宋" w:eastAsia="仿宋"/>
          <w:b/>
          <w:sz w:val="32"/>
          <w:szCs w:val="32"/>
        </w:rPr>
        <w:t xml:space="preserve">第四条 </w:t>
      </w:r>
      <w:r>
        <w:rPr>
          <w:rFonts w:hint="eastAsia" w:ascii="仿宋" w:hAnsi="仿宋" w:eastAsia="仿宋"/>
          <w:sz w:val="32"/>
          <w:szCs w:val="32"/>
        </w:rPr>
        <w:t xml:space="preserve"> 组织开展主题党日活动、春秋游活动、重阳节活动、文体竞赛活动和参观工农业生产项目、城乡建设项目等。</w:t>
      </w:r>
    </w:p>
    <w:p>
      <w:pPr>
        <w:spacing w:line="560" w:lineRule="exact"/>
        <w:ind w:firstLine="640" w:firstLineChars="200"/>
        <w:rPr>
          <w:rFonts w:ascii="仿宋" w:hAnsi="仿宋" w:eastAsia="仿宋"/>
          <w:sz w:val="32"/>
          <w:szCs w:val="32"/>
        </w:rPr>
      </w:pPr>
      <w:r>
        <w:rPr>
          <w:rFonts w:hint="eastAsia" w:ascii="仿宋" w:hAnsi="仿宋" w:eastAsia="仿宋"/>
          <w:b/>
          <w:sz w:val="32"/>
          <w:szCs w:val="32"/>
        </w:rPr>
        <w:t>第五条</w:t>
      </w:r>
      <w:r>
        <w:rPr>
          <w:rFonts w:hint="eastAsia" w:ascii="仿宋" w:hAnsi="仿宋" w:eastAsia="仿宋"/>
          <w:sz w:val="32"/>
          <w:szCs w:val="32"/>
        </w:rPr>
        <w:t xml:space="preserve">  离退休人员慰问事项包括：节日慰问、生日慰问、住院慰问、丧葬慰问、困难帮扶慰问、结婚慰问、寓居外省慰问。</w:t>
      </w:r>
    </w:p>
    <w:p>
      <w:pPr>
        <w:spacing w:line="560" w:lineRule="exact"/>
        <w:ind w:firstLine="640" w:firstLineChars="200"/>
        <w:rPr>
          <w:rFonts w:ascii="仿宋" w:hAnsi="仿宋" w:eastAsia="仿宋"/>
          <w:sz w:val="32"/>
          <w:szCs w:val="32"/>
        </w:rPr>
      </w:pPr>
      <w:r>
        <w:rPr>
          <w:rFonts w:hint="eastAsia" w:ascii="仿宋" w:hAnsi="仿宋" w:eastAsia="仿宋"/>
          <w:b/>
          <w:sz w:val="32"/>
          <w:szCs w:val="32"/>
        </w:rPr>
        <w:t>第六条</w:t>
      </w:r>
      <w:r>
        <w:rPr>
          <w:rFonts w:hint="eastAsia" w:ascii="仿宋" w:hAnsi="仿宋" w:eastAsia="仿宋"/>
          <w:sz w:val="32"/>
          <w:szCs w:val="32"/>
        </w:rPr>
        <w:t xml:space="preserve">  慰问费标准：</w:t>
      </w:r>
    </w:p>
    <w:p>
      <w:pPr>
        <w:spacing w:line="560" w:lineRule="exact"/>
        <w:ind w:firstLine="640" w:firstLineChars="200"/>
        <w:rPr>
          <w:rFonts w:ascii="仿宋" w:hAnsi="仿宋" w:eastAsia="仿宋" w:cs="方正书宋_GBK"/>
          <w:sz w:val="32"/>
          <w:szCs w:val="32"/>
        </w:rPr>
      </w:pPr>
      <w:r>
        <w:rPr>
          <w:rFonts w:hint="eastAsia" w:ascii="仿宋" w:hAnsi="仿宋" w:eastAsia="仿宋" w:cs="方正书宋_GBK"/>
          <w:sz w:val="32"/>
          <w:szCs w:val="32"/>
        </w:rPr>
        <w:t>（一）节日慰问。清明、五一、端午、国庆、中秋、元旦慰问按有关规定执行，每人每节300元；重阳节和春节慰问每人1000元。</w:t>
      </w:r>
    </w:p>
    <w:p>
      <w:pPr>
        <w:spacing w:line="560" w:lineRule="exact"/>
        <w:ind w:firstLine="640" w:firstLineChars="200"/>
        <w:rPr>
          <w:rFonts w:ascii="仿宋" w:hAnsi="仿宋" w:eastAsia="仿宋" w:cs="方正书宋_GBK"/>
          <w:sz w:val="32"/>
          <w:szCs w:val="32"/>
        </w:rPr>
      </w:pPr>
      <w:r>
        <w:rPr>
          <w:rFonts w:hint="eastAsia" w:ascii="仿宋" w:hAnsi="仿宋" w:eastAsia="仿宋" w:cs="方正书宋_GBK"/>
          <w:sz w:val="32"/>
          <w:szCs w:val="32"/>
        </w:rPr>
        <w:t>（二）生日慰问。非整岁生日慰问标准为每人300元，整岁生日慰问标准为：70岁1000元、80岁2000元、90岁3000元、100岁4000元。</w:t>
      </w:r>
    </w:p>
    <w:p>
      <w:pPr>
        <w:spacing w:line="560" w:lineRule="exact"/>
        <w:ind w:firstLine="640" w:firstLineChars="200"/>
        <w:rPr>
          <w:rFonts w:ascii="仿宋" w:hAnsi="仿宋" w:eastAsia="仿宋" w:cs="方正书宋_GBK"/>
          <w:sz w:val="32"/>
          <w:szCs w:val="32"/>
        </w:rPr>
      </w:pPr>
      <w:r>
        <w:rPr>
          <w:rFonts w:hint="eastAsia" w:ascii="仿宋" w:hAnsi="仿宋" w:eastAsia="仿宋" w:cs="方正书宋_GBK"/>
          <w:sz w:val="32"/>
          <w:szCs w:val="32"/>
        </w:rPr>
        <w:t>（三）住院慰问。一般疾病住院慰问标准为每年每人1000元。一年中多次住院的，只慰问一次。</w:t>
      </w:r>
    </w:p>
    <w:p>
      <w:pPr>
        <w:spacing w:line="560" w:lineRule="exact"/>
        <w:ind w:firstLine="640" w:firstLineChars="200"/>
        <w:rPr>
          <w:rFonts w:ascii="仿宋" w:hAnsi="仿宋" w:eastAsia="仿宋" w:cs="方正书宋_GBK"/>
          <w:sz w:val="32"/>
          <w:szCs w:val="32"/>
        </w:rPr>
      </w:pPr>
      <w:r>
        <w:rPr>
          <w:rFonts w:hint="eastAsia" w:ascii="仿宋" w:hAnsi="仿宋" w:eastAsia="仿宋" w:cs="方正书宋_GBK"/>
          <w:sz w:val="32"/>
          <w:szCs w:val="32"/>
        </w:rPr>
        <w:t>（四）丧葬慰问。离退休人员本人去世，慰问标准为2000元；其配偶、父母、配偶父母、子女过世的，慰问标准为1000元。</w:t>
      </w:r>
    </w:p>
    <w:p>
      <w:pPr>
        <w:spacing w:line="560" w:lineRule="exact"/>
        <w:ind w:firstLine="640" w:firstLineChars="200"/>
        <w:rPr>
          <w:rFonts w:ascii="仿宋" w:hAnsi="仿宋" w:eastAsia="仿宋" w:cs="方正书宋_GBK"/>
          <w:sz w:val="32"/>
          <w:szCs w:val="32"/>
        </w:rPr>
      </w:pPr>
      <w:r>
        <w:rPr>
          <w:rFonts w:hint="eastAsia" w:ascii="仿宋" w:hAnsi="仿宋" w:eastAsia="仿宋" w:cs="方正书宋_GBK"/>
          <w:sz w:val="32"/>
          <w:szCs w:val="32"/>
        </w:rPr>
        <w:t>（五）困难帮扶慰问。每年年底给予困难离退休人员或其遗孀一次性困难慰问金为每人1000元。</w:t>
      </w:r>
    </w:p>
    <w:p>
      <w:pPr>
        <w:spacing w:line="560" w:lineRule="exact"/>
        <w:ind w:firstLine="640" w:firstLineChars="200"/>
        <w:rPr>
          <w:rFonts w:ascii="仿宋" w:hAnsi="仿宋" w:eastAsia="仿宋" w:cs="方正书宋_GBK"/>
          <w:sz w:val="32"/>
          <w:szCs w:val="32"/>
        </w:rPr>
      </w:pPr>
      <w:r>
        <w:rPr>
          <w:rFonts w:hint="eastAsia" w:ascii="仿宋" w:hAnsi="仿宋" w:eastAsia="仿宋" w:cs="方正书宋_GBK"/>
          <w:sz w:val="32"/>
          <w:szCs w:val="32"/>
        </w:rPr>
        <w:t>（六）结婚慰问。给予结婚的离退休人员价值1000元以内的慰问品。</w:t>
      </w:r>
    </w:p>
    <w:p>
      <w:pPr>
        <w:spacing w:line="560" w:lineRule="exact"/>
        <w:ind w:firstLine="640" w:firstLineChars="200"/>
        <w:rPr>
          <w:rFonts w:ascii="仿宋" w:hAnsi="仿宋" w:eastAsia="仿宋"/>
          <w:sz w:val="32"/>
          <w:szCs w:val="32"/>
        </w:rPr>
      </w:pPr>
      <w:r>
        <w:rPr>
          <w:rFonts w:hint="eastAsia" w:ascii="仿宋" w:hAnsi="仿宋" w:eastAsia="仿宋"/>
          <w:b/>
          <w:sz w:val="32"/>
          <w:szCs w:val="32"/>
        </w:rPr>
        <w:t xml:space="preserve">第七条 </w:t>
      </w:r>
      <w:r>
        <w:rPr>
          <w:rFonts w:hint="eastAsia" w:ascii="仿宋" w:hAnsi="仿宋" w:eastAsia="仿宋"/>
          <w:sz w:val="32"/>
          <w:szCs w:val="32"/>
        </w:rPr>
        <w:t xml:space="preserve"> 订阅书报。每人每年可订阅价格不超过500元的报刊、杂志或书籍。</w:t>
      </w:r>
    </w:p>
    <w:p>
      <w:pPr>
        <w:spacing w:line="560" w:lineRule="exact"/>
        <w:ind w:firstLine="640" w:firstLineChars="200"/>
        <w:rPr>
          <w:rFonts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xml:space="preserve">  学习教育。</w:t>
      </w:r>
      <w:r>
        <w:rPr>
          <w:rFonts w:hint="eastAsia" w:ascii="仿宋" w:hAnsi="仿宋" w:eastAsia="仿宋" w:cs="方正书宋_GBK"/>
          <w:sz w:val="32"/>
          <w:szCs w:val="32"/>
        </w:rPr>
        <w:t>离退休人员可参加政府公办的老干部（老年）大学学习，一般每人每学期不超过两门课程，每年学费不超过1000元，凭票据实报销。</w:t>
      </w:r>
    </w:p>
    <w:p>
      <w:pPr>
        <w:spacing w:line="560" w:lineRule="exact"/>
        <w:ind w:firstLine="640" w:firstLineChars="200"/>
        <w:rPr>
          <w:rFonts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组织离退休人员年度健康检查，做好离休干部护理费、特需费、健康疗养费、医疗费的保障落实。</w:t>
      </w:r>
    </w:p>
    <w:p>
      <w:pPr>
        <w:spacing w:line="560" w:lineRule="exact"/>
        <w:ind w:firstLine="640" w:firstLineChars="200"/>
        <w:rPr>
          <w:rFonts w:ascii="仿宋" w:hAnsi="仿宋" w:eastAsia="仿宋" w:cs="方正书宋_GBK"/>
          <w:sz w:val="32"/>
          <w:szCs w:val="32"/>
        </w:rPr>
      </w:pPr>
      <w:r>
        <w:rPr>
          <w:rFonts w:hint="eastAsia" w:ascii="仿宋" w:hAnsi="仿宋" w:eastAsia="仿宋"/>
          <w:b/>
          <w:sz w:val="32"/>
          <w:szCs w:val="32"/>
        </w:rPr>
        <w:t>第十条</w:t>
      </w:r>
      <w:r>
        <w:rPr>
          <w:rFonts w:hint="eastAsia" w:ascii="仿宋" w:hAnsi="仿宋" w:eastAsia="仿宋"/>
          <w:sz w:val="32"/>
          <w:szCs w:val="32"/>
        </w:rPr>
        <w:t xml:space="preserve"> </w:t>
      </w:r>
      <w:r>
        <w:rPr>
          <w:rFonts w:hint="eastAsia" w:ascii="仿宋" w:hAnsi="仿宋" w:eastAsia="仿宋" w:cs="方正书宋_GBK"/>
          <w:sz w:val="32"/>
          <w:szCs w:val="32"/>
        </w:rPr>
        <w:t>根据省委老干局的年底慰问特困老干的相关规定，及时上报本院特困帮扶名单，及时按标准发放慰问金。</w:t>
      </w:r>
    </w:p>
    <w:p>
      <w:pPr>
        <w:spacing w:line="560" w:lineRule="exact"/>
        <w:ind w:firstLine="640" w:firstLineChars="200"/>
        <w:rPr>
          <w:rFonts w:ascii="仿宋" w:hAnsi="仿宋" w:eastAsia="仿宋" w:cs="方正书宋_GBK"/>
          <w:sz w:val="32"/>
          <w:szCs w:val="32"/>
        </w:rPr>
      </w:pPr>
      <w:r>
        <w:rPr>
          <w:rFonts w:hint="eastAsia" w:ascii="仿宋" w:hAnsi="仿宋" w:eastAsia="仿宋"/>
          <w:b/>
          <w:sz w:val="32"/>
          <w:szCs w:val="32"/>
        </w:rPr>
        <w:t>第十一条</w:t>
      </w:r>
      <w:r>
        <w:rPr>
          <w:rFonts w:hint="eastAsia" w:ascii="仿宋" w:hAnsi="仿宋" w:eastAsia="仿宋" w:cs="方正书宋_GBK"/>
          <w:sz w:val="32"/>
          <w:szCs w:val="32"/>
        </w:rPr>
        <w:t xml:space="preserve">  本管理办法自公布之日起执行。</w:t>
      </w:r>
    </w:p>
    <w:tbl>
      <w:tblPr>
        <w:tblStyle w:val="9"/>
        <w:tblpPr w:leftFromText="180" w:rightFromText="180" w:vertAnchor="text" w:tblpX="142" w:tblpY="1357"/>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8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288" w:type="dxa"/>
          </w:tcPr>
          <w:p>
            <w:pPr>
              <w:spacing w:line="600" w:lineRule="exact"/>
              <w:rPr>
                <w:rFonts w:ascii="仿宋" w:hAnsi="仿宋" w:eastAsia="仿宋" w:cs="仿宋"/>
                <w:bCs/>
                <w:color w:val="000000"/>
                <w:sz w:val="28"/>
                <w:szCs w:val="28"/>
              </w:rPr>
            </w:pPr>
            <w:r>
              <w:rPr>
                <w:rFonts w:hint="eastAsia" w:ascii="仿宋" w:hAnsi="仿宋" w:eastAsia="仿宋" w:cs="仿宋"/>
                <w:bCs/>
                <w:color w:val="000000"/>
                <w:sz w:val="28"/>
                <w:szCs w:val="28"/>
              </w:rPr>
              <w:t xml:space="preserve"> 湖南省地方志编纂院办公室          2023年10月 13日印发</w:t>
            </w:r>
          </w:p>
        </w:tc>
      </w:tr>
    </w:tbl>
    <w:p>
      <w:pPr>
        <w:spacing w:line="600" w:lineRule="exact"/>
        <w:rPr>
          <w:rFonts w:ascii="仿宋" w:hAnsi="仿宋" w:eastAsia="仿宋" w:cs="仿宋"/>
          <w:bCs/>
          <w:color w:val="000000"/>
          <w:sz w:val="32"/>
          <w:szCs w:val="32"/>
        </w:rPr>
      </w:pPr>
    </w:p>
    <w:p/>
    <w:sectPr>
      <w:footerReference r:id="rId5" w:type="default"/>
      <w:footerReference r:id="rId6"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ESI小标宋-GB2312">
    <w:panose1 w:val="02000500000000000000"/>
    <w:charset w:val="86"/>
    <w:family w:val="auto"/>
    <w:pitch w:val="default"/>
    <w:sig w:usb0="800002AF" w:usb1="084F6CF8" w:usb2="00000010"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CESI楷体-GB2312">
    <w:panose1 w:val="02000500000000000000"/>
    <w:charset w:val="86"/>
    <w:family w:val="auto"/>
    <w:pitch w:val="default"/>
    <w:sig w:usb0="800002BF" w:usb1="184F6CF8" w:usb2="00000012"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宋体-GB2312">
    <w:panose1 w:val="02000500000000000000"/>
    <w:charset w:val="86"/>
    <w:family w:val="auto"/>
    <w:pitch w:val="default"/>
    <w:sig w:usb0="800002AF" w:usb1="0847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numPr>
        <w:ilvl w:val="0"/>
        <w:numId w:val="1"/>
      </w:numPr>
      <w:rPr>
        <w:rStyle w:val="11"/>
        <w:rFonts w:ascii="仿宋" w:hAnsi="仿宋" w:eastAsia="仿宋"/>
        <w:sz w:val="28"/>
        <w:szCs w:val="28"/>
      </w:rPr>
    </w:pPr>
    <w:r>
      <w:rPr>
        <w:rStyle w:val="11"/>
        <w:rFonts w:ascii="仿宋" w:hAnsi="仿宋" w:eastAsia="仿宋"/>
        <w:sz w:val="28"/>
        <w:szCs w:val="28"/>
      </w:rPr>
      <w:fldChar w:fldCharType="begin"/>
    </w:r>
    <w:r>
      <w:rPr>
        <w:rStyle w:val="11"/>
        <w:rFonts w:ascii="仿宋" w:hAnsi="仿宋" w:eastAsia="仿宋"/>
        <w:sz w:val="28"/>
        <w:szCs w:val="28"/>
      </w:rPr>
      <w:instrText xml:space="preserve">PAGE  </w:instrText>
    </w:r>
    <w:r>
      <w:rPr>
        <w:rStyle w:val="11"/>
        <w:rFonts w:ascii="仿宋" w:hAnsi="仿宋" w:eastAsia="仿宋"/>
        <w:sz w:val="28"/>
        <w:szCs w:val="28"/>
      </w:rPr>
      <w:fldChar w:fldCharType="separate"/>
    </w:r>
    <w:r>
      <w:rPr>
        <w:rStyle w:val="11"/>
        <w:rFonts w:ascii="仿宋" w:hAnsi="仿宋" w:eastAsia="仿宋"/>
        <w:sz w:val="28"/>
        <w:szCs w:val="28"/>
      </w:rPr>
      <w:t>2</w:t>
    </w:r>
    <w:r>
      <w:rPr>
        <w:rStyle w:val="11"/>
        <w:rFonts w:ascii="仿宋" w:hAnsi="仿宋" w:eastAsia="仿宋"/>
        <w:sz w:val="28"/>
        <w:szCs w:val="28"/>
      </w:rPr>
      <w:fldChar w:fldCharType="end"/>
    </w:r>
    <w:r>
      <w:rPr>
        <w:rStyle w:val="11"/>
        <w:rFonts w:hint="eastAsia" w:ascii="仿宋" w:hAnsi="仿宋" w:eastAsia="仿宋"/>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numPr>
        <w:ilvl w:val="0"/>
        <w:numId w:val="2"/>
      </w:numPr>
      <w:rPr>
        <w:rStyle w:val="11"/>
        <w:rFonts w:ascii="仿宋" w:hAnsi="仿宋" w:eastAsia="仿宋"/>
        <w:sz w:val="28"/>
        <w:szCs w:val="28"/>
      </w:rPr>
    </w:pPr>
    <w:r>
      <w:rPr>
        <w:rStyle w:val="11"/>
        <w:rFonts w:ascii="仿宋" w:hAnsi="仿宋" w:eastAsia="仿宋"/>
        <w:sz w:val="28"/>
        <w:szCs w:val="28"/>
      </w:rPr>
      <w:fldChar w:fldCharType="begin"/>
    </w:r>
    <w:r>
      <w:rPr>
        <w:rStyle w:val="11"/>
        <w:rFonts w:ascii="仿宋" w:hAnsi="仿宋" w:eastAsia="仿宋"/>
        <w:sz w:val="28"/>
        <w:szCs w:val="28"/>
      </w:rPr>
      <w:instrText xml:space="preserve">PAGE  </w:instrText>
    </w:r>
    <w:r>
      <w:rPr>
        <w:rStyle w:val="11"/>
        <w:rFonts w:ascii="仿宋" w:hAnsi="仿宋" w:eastAsia="仿宋"/>
        <w:sz w:val="28"/>
        <w:szCs w:val="28"/>
      </w:rPr>
      <w:fldChar w:fldCharType="separate"/>
    </w:r>
    <w:r>
      <w:rPr>
        <w:rStyle w:val="11"/>
        <w:rFonts w:ascii="仿宋" w:hAnsi="仿宋" w:eastAsia="仿宋"/>
        <w:sz w:val="28"/>
        <w:szCs w:val="28"/>
      </w:rPr>
      <w:t>46</w:t>
    </w:r>
    <w:r>
      <w:rPr>
        <w:rStyle w:val="11"/>
        <w:rFonts w:ascii="仿宋" w:hAnsi="仿宋" w:eastAsia="仿宋"/>
        <w:sz w:val="28"/>
        <w:szCs w:val="28"/>
      </w:rPr>
      <w:fldChar w:fldCharType="end"/>
    </w:r>
    <w:r>
      <w:rPr>
        <w:rStyle w:val="11"/>
        <w:rFonts w:hint="eastAsia" w:ascii="仿宋" w:hAnsi="仿宋" w:eastAsia="仿宋"/>
        <w:sz w:val="28"/>
        <w:szCs w:val="28"/>
      </w:rPr>
      <w:t xml:space="preserve"> —</w:t>
    </w:r>
  </w:p>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8964EC"/>
    <w:multiLevelType w:val="multilevel"/>
    <w:tmpl w:val="368964EC"/>
    <w:lvl w:ilvl="0" w:tentative="0">
      <w:start w:val="0"/>
      <w:numFmt w:val="bullet"/>
      <w:lvlText w:val="—"/>
      <w:lvlJc w:val="left"/>
      <w:pPr>
        <w:ind w:left="360" w:hanging="360"/>
      </w:pPr>
      <w:rPr>
        <w:rFonts w:hint="eastAsia" w:ascii="仿宋" w:hAnsi="仿宋" w:eastAsia="仿宋"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F0F0C74"/>
    <w:multiLevelType w:val="multilevel"/>
    <w:tmpl w:val="5F0F0C74"/>
    <w:lvl w:ilvl="0" w:tentative="0">
      <w:start w:val="0"/>
      <w:numFmt w:val="bullet"/>
      <w:lvlText w:val="—"/>
      <w:lvlJc w:val="left"/>
      <w:pPr>
        <w:ind w:left="360" w:hanging="360"/>
      </w:pPr>
      <w:rPr>
        <w:rFonts w:hint="eastAsia" w:ascii="仿宋" w:hAnsi="仿宋" w:eastAsia="仿宋"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C07E6"/>
    <w:rsid w:val="0004722B"/>
    <w:rsid w:val="006C5654"/>
    <w:rsid w:val="006F7FE4"/>
    <w:rsid w:val="00707277"/>
    <w:rsid w:val="00A354FB"/>
    <w:rsid w:val="00AA3208"/>
    <w:rsid w:val="00AA7F6E"/>
    <w:rsid w:val="00B07125"/>
    <w:rsid w:val="00B76368"/>
    <w:rsid w:val="00B95255"/>
    <w:rsid w:val="00BD3FD7"/>
    <w:rsid w:val="00C30539"/>
    <w:rsid w:val="00D714EB"/>
    <w:rsid w:val="00DB05FC"/>
    <w:rsid w:val="00DC726D"/>
    <w:rsid w:val="00DE6FA9"/>
    <w:rsid w:val="00E77AC1"/>
    <w:rsid w:val="00FC07E6"/>
    <w:rsid w:val="3FDF2CDB"/>
    <w:rsid w:val="3FFF788E"/>
    <w:rsid w:val="57FDB5A9"/>
    <w:rsid w:val="F7FF7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43">
          <o:proxy start="" idref="#圆角矩形 2" connectloc="2"/>
        </o:r>
        <o:r id="V:Rule2" type="connector" idref="#自选图形 27">
          <o:proxy start="" idref="#圆角矩形 2" connectloc="2"/>
        </o:r>
        <o:r id="V:Rule3" type="connector" idref="#_x0000_s1035">
          <o:proxy start="" idref="#菱形 14" connectloc="3"/>
        </o:r>
        <o:r id="V:Rule4" type="connector" idref="#自选图形 7">
          <o:proxy start="" idref="#菱形 14" connectloc="3"/>
        </o:r>
        <o:r id="V:Rule5" type="connector" idref="#自选图形 53">
          <o:proxy start="" idref="#菱形 14" connectloc="3"/>
        </o:r>
        <o:r id="V:Rule6" type="connector" idref="#自选图形 70">
          <o:proxy start="" idref="#菱形 14" connectloc="3"/>
          <o:proxy end="" idref="#_x0000_s1079" connectloc="2"/>
        </o:r>
        <o:r id="V:Rule7" type="connector" idref="#自选图形 71">
          <o:proxy start="" idref="#菱形 14" connectloc="3"/>
          <o:proxy end="" idref="#_x0000_s1079" connectloc="2"/>
        </o:r>
        <o:r id="V:Rule8" type="connector" idref="#直接箭头连接符 51">
          <o:proxy start="" idref="#菱形 14" connectloc="3"/>
          <o:proxy end="" idref="#_x0000_s1079" connectloc="2"/>
        </o:r>
        <o:r id="V:Rule9" type="connector" idref="#直接箭头连接符 3">
          <o:proxy start="" idref="#圆角矩形 2" connectloc="2"/>
          <o:proxy end="" idref="#_x0000_s1079" connectloc="2"/>
        </o:r>
        <o:r id="V:Rule10" type="connector" idref="#直接箭头连接符 5">
          <o:proxy start="" idref="#圆角矩形 2" connectloc="2"/>
          <o:proxy end="" idref="#_x0000_s1079" connectloc="2"/>
        </o:r>
        <o:r id="V:Rule11" type="connector" idref="#直接箭头连接符 7">
          <o:proxy start="" idref="#圆角矩形 2" connectloc="2"/>
          <o:proxy end="" idref="#_x0000_s1079" connectloc="2"/>
        </o:r>
        <o:r id="V:Rule12" type="connector" idref="#直接箭头连接符 10">
          <o:proxy start="" idref="#圆角矩形 2" connectloc="2"/>
          <o:proxy end="" idref="#_x0000_s1079" connectloc="2"/>
        </o:r>
        <o:r id="V:Rule13" type="connector" idref="#直接箭头连接符 13">
          <o:proxy start="" idref="#圆角矩形 2" connectloc="2"/>
          <o:proxy end="" idref="#_x0000_s1079" connectloc="2"/>
        </o:r>
        <o:r id="V:Rule14" type="connector" idref="#自选图形 17">
          <o:proxy start="" idref="#圆角矩形 2" connectloc="2"/>
          <o:proxy end="" idref="#_x0000_s1079" connectloc="2"/>
        </o:r>
        <o:r id="V:Rule15" type="connector" idref="#自选图形 36">
          <o:proxy start="" idref="#圆角矩形 2" connectloc="2"/>
          <o:proxy end="" idref="#_x0000_s1079" connectloc="2"/>
        </o:r>
        <o:r id="V:Rule16" type="connector" idref="#自选图形 15">
          <o:proxy start="" idref="#圆角矩形 2" connectloc="2"/>
          <o:proxy end="" idref="#_x0000_s1079" connectloc="2"/>
        </o:r>
        <o:r id="V:Rule17" type="connector" idref="#自选图形 12">
          <o:proxy start="" idref="#菱形 14" connectloc="3"/>
          <o:proxy end="" idref="#_x0000_s1079" connectloc="2"/>
        </o:r>
        <o:r id="V:Rule18" type="connector" idref="#自选图形 59">
          <o:proxy start="" idref="#菱形 14" connectloc="3"/>
          <o:proxy end="" idref="#_x0000_s1079" connectloc="2"/>
        </o:r>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rPr>
      <w:szCs w:val="22"/>
    </w:rPr>
  </w:style>
  <w:style w:type="paragraph" w:styleId="3">
    <w:name w:val="Body Text Indent"/>
    <w:basedOn w:val="1"/>
    <w:link w:val="15"/>
    <w:qFormat/>
    <w:uiPriority w:val="0"/>
    <w:pPr>
      <w:spacing w:after="120"/>
      <w:ind w:left="420" w:leftChars="200"/>
    </w:pPr>
  </w:style>
  <w:style w:type="paragraph" w:styleId="4">
    <w:name w:val="Date"/>
    <w:basedOn w:val="1"/>
    <w:next w:val="1"/>
    <w:link w:val="14"/>
    <w:qFormat/>
    <w:uiPriority w:val="0"/>
    <w:pPr>
      <w:ind w:left="100" w:leftChars="2500"/>
    </w:p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kern w:val="0"/>
      <w:sz w:val="24"/>
      <w:szCs w:val="22"/>
    </w:rPr>
  </w:style>
  <w:style w:type="paragraph" w:styleId="8">
    <w:name w:val="Body Text First Indent 2"/>
    <w:link w:val="16"/>
    <w:unhideWhenUsed/>
    <w:qFormat/>
    <w:uiPriority w:val="99"/>
    <w:pPr>
      <w:widowControl w:val="0"/>
      <w:ind w:firstLine="420" w:firstLineChars="200"/>
      <w:jc w:val="both"/>
    </w:pPr>
    <w:rPr>
      <w:rFonts w:ascii="Times New Roman" w:hAnsi="Times New Roman" w:eastAsia="宋体" w:cs="Times New Roman"/>
      <w:kern w:val="2"/>
      <w:sz w:val="32"/>
      <w:szCs w:val="22"/>
      <w:lang w:val="en-US" w:eastAsia="zh-CN" w:bidi="ar-SA"/>
    </w:rPr>
  </w:style>
  <w:style w:type="character" w:styleId="11">
    <w:name w:val="page number"/>
    <w:basedOn w:val="10"/>
    <w:qFormat/>
    <w:uiPriority w:val="0"/>
  </w:style>
  <w:style w:type="character" w:customStyle="1" w:styleId="12">
    <w:name w:val="页眉 Char"/>
    <w:basedOn w:val="10"/>
    <w:link w:val="6"/>
    <w:qFormat/>
    <w:uiPriority w:val="0"/>
    <w:rPr>
      <w:rFonts w:ascii="Calibri" w:hAnsi="Calibri" w:eastAsia="宋体" w:cs="Times New Roman"/>
      <w:sz w:val="18"/>
      <w:szCs w:val="18"/>
    </w:rPr>
  </w:style>
  <w:style w:type="character" w:customStyle="1" w:styleId="13">
    <w:name w:val="页脚 Char"/>
    <w:basedOn w:val="10"/>
    <w:link w:val="5"/>
    <w:qFormat/>
    <w:uiPriority w:val="99"/>
    <w:rPr>
      <w:rFonts w:ascii="Calibri" w:hAnsi="Calibri" w:eastAsia="宋体" w:cs="Times New Roman"/>
      <w:sz w:val="18"/>
      <w:szCs w:val="18"/>
    </w:rPr>
  </w:style>
  <w:style w:type="character" w:customStyle="1" w:styleId="14">
    <w:name w:val="日期 Char"/>
    <w:basedOn w:val="10"/>
    <w:link w:val="4"/>
    <w:qFormat/>
    <w:uiPriority w:val="0"/>
    <w:rPr>
      <w:rFonts w:ascii="Calibri" w:hAnsi="Calibri" w:eastAsia="宋体" w:cs="Times New Roman"/>
      <w:szCs w:val="24"/>
    </w:rPr>
  </w:style>
  <w:style w:type="character" w:customStyle="1" w:styleId="15">
    <w:name w:val="正文文本缩进 Char"/>
    <w:basedOn w:val="10"/>
    <w:link w:val="3"/>
    <w:qFormat/>
    <w:uiPriority w:val="0"/>
    <w:rPr>
      <w:rFonts w:ascii="Calibri" w:hAnsi="Calibri" w:eastAsia="宋体" w:cs="Times New Roman"/>
      <w:szCs w:val="24"/>
    </w:rPr>
  </w:style>
  <w:style w:type="character" w:customStyle="1" w:styleId="16">
    <w:name w:val="正文首行缩进 2 Char"/>
    <w:basedOn w:val="15"/>
    <w:link w:val="8"/>
    <w:qFormat/>
    <w:uiPriority w:val="99"/>
    <w:rPr>
      <w:rFonts w:ascii="Times New Roman" w:hAnsi="Times New Roman"/>
      <w:sz w:val="32"/>
    </w:rPr>
  </w:style>
  <w:style w:type="character" w:customStyle="1" w:styleId="17">
    <w:name w:val="批注文字 Char"/>
    <w:basedOn w:val="10"/>
    <w:link w:val="2"/>
    <w:qFormat/>
    <w:uiPriority w:val="99"/>
    <w:rPr>
      <w:rFonts w:ascii="Calibri" w:hAnsi="Calibri" w:eastAsia="宋体" w:cs="Times New Roman"/>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49"/>
    <customShpInfo spid="_x0000_s1070"/>
    <customShpInfo spid="_x0000_s1085"/>
    <customShpInfo spid="_x0000_s1082"/>
    <customShpInfo spid="_x0000_s1084"/>
    <customShpInfo spid="_x0000_s1081"/>
    <customShpInfo spid="_x0000_s1040"/>
    <customShpInfo spid="_x0000_s1039"/>
    <customShpInfo spid="_x0000_s1083"/>
    <customShpInfo spid="_x0000_s1064"/>
    <customShpInfo spid="_x0000_s1038"/>
    <customShpInfo spid="_x0000_s1080"/>
    <customShpInfo spid="_x0000_s1079"/>
    <customShpInfo spid="_x0000_s1073"/>
    <customShpInfo spid="_x0000_s1037"/>
    <customShpInfo spid="_x0000_s1074"/>
    <customShpInfo spid="_x0000_s1077"/>
    <customShpInfo spid="_x0000_s1063"/>
    <customShpInfo spid="_x0000_s1075"/>
    <customShpInfo spid="_x0000_s1034"/>
    <customShpInfo spid="_x0000_s1041"/>
    <customShpInfo spid="_x0000_s1036"/>
    <customShpInfo spid="_x0000_s1033"/>
    <customShpInfo spid="_x0000_s1045"/>
    <customShpInfo spid="_x0000_s1062"/>
    <customShpInfo spid="_x0000_s1043"/>
    <customShpInfo spid="_x0000_s1042"/>
    <customShpInfo spid="_x0000_s1035"/>
    <customShpInfo spid="_x0000_s1061"/>
    <customShpInfo spid="_x0000_s1032"/>
    <customShpInfo spid="_x0000_s1046"/>
    <customShpInfo spid="_x0000_s1059"/>
    <customShpInfo spid="_x0000_s1030"/>
    <customShpInfo spid="_x0000_s1068"/>
    <customShpInfo spid="_x0000_s1028"/>
    <customShpInfo spid="_x0000_s1072"/>
    <customShpInfo spid="_x0000_s1044"/>
    <customShpInfo spid="_x0000_s1060"/>
    <customShpInfo spid="_x0000_s1031"/>
    <customShpInfo spid="_x0000_s1071"/>
    <customShpInfo spid="_x0000_s1047"/>
    <customShpInfo spid="_x0000_s1069"/>
    <customShpInfo spid="_x0000_s1067"/>
    <customShpInfo spid="_x0000_s1058"/>
    <customShpInfo spid="_x0000_s1076"/>
    <customShpInfo spid="_x0000_s1057"/>
    <customShpInfo spid="_x0000_s1056"/>
    <customShpInfo spid="_x0000_s1027"/>
    <customShpInfo spid="_x0000_s1055"/>
    <customShpInfo spid="_x0000_s1054"/>
    <customShpInfo spid="_x0000_s1048"/>
    <customShpInfo spid="_x0000_s1066"/>
    <customShpInfo spid="_x0000_s1053"/>
    <customShpInfo spid="_x0000_s1065"/>
    <customShpInfo spid="_x0000_s1029"/>
    <customShpInfo spid="_x0000_s1052"/>
    <customShpInfo spid="_x0000_s1051"/>
    <customShpInfo spid="_x0000_s1078"/>
    <customShpInfo spid="_x0000_s1050"/>
    <customShpInfo spid="_x0000_s108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46</Pages>
  <Words>2950</Words>
  <Characters>16820</Characters>
  <Lines>140</Lines>
  <Paragraphs>39</Paragraphs>
  <TotalTime>1</TotalTime>
  <ScaleCrop>false</ScaleCrop>
  <LinksUpToDate>false</LinksUpToDate>
  <CharactersWithSpaces>19731</CharactersWithSpaces>
  <Application>WPS Office_11.8.2.9701_F1E327BC-269C-435d-A152-05C5408002CA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2023-10-09T01:45:00Z</dcterms:created>
  <dc:creator>user</dc:creator>
  <cp:lastModifiedBy>greatwall</cp:lastModifiedBy>
  <dcterms:modified xsi:type="dcterms:W3CDTF">2023-11-06T17:15:55Z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2052-11.8.2.9701</vt:lpwstr>
  </property>
</Properties>
</file>